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E9" w:rsidRDefault="00B70CE9" w:rsidP="00B70CE9">
      <w:pPr>
        <w:jc w:val="center"/>
        <w:rPr>
          <w:b/>
          <w:i/>
          <w:sz w:val="72"/>
          <w:szCs w:val="72"/>
        </w:rPr>
      </w:pPr>
    </w:p>
    <w:p w:rsidR="00B70CE9" w:rsidRDefault="00B70CE9" w:rsidP="00B70CE9">
      <w:pPr>
        <w:jc w:val="center"/>
        <w:rPr>
          <w:b/>
          <w:i/>
          <w:sz w:val="72"/>
          <w:szCs w:val="72"/>
        </w:rPr>
      </w:pPr>
    </w:p>
    <w:p w:rsidR="00B70CE9" w:rsidRDefault="00B70CE9" w:rsidP="00B70CE9">
      <w:pPr>
        <w:jc w:val="center"/>
        <w:rPr>
          <w:b/>
          <w:i/>
          <w:sz w:val="72"/>
          <w:szCs w:val="72"/>
        </w:rPr>
      </w:pPr>
    </w:p>
    <w:p w:rsidR="00B70CE9" w:rsidRDefault="00B70CE9" w:rsidP="00B70CE9">
      <w:pPr>
        <w:jc w:val="center"/>
        <w:rPr>
          <w:b/>
          <w:i/>
          <w:sz w:val="72"/>
          <w:szCs w:val="72"/>
        </w:rPr>
      </w:pPr>
    </w:p>
    <w:p w:rsidR="00B70CE9" w:rsidRDefault="00B70CE9" w:rsidP="00B70CE9">
      <w:pPr>
        <w:jc w:val="center"/>
        <w:rPr>
          <w:b/>
          <w:i/>
          <w:sz w:val="72"/>
          <w:szCs w:val="72"/>
        </w:rPr>
      </w:pPr>
    </w:p>
    <w:p w:rsidR="00B70CE9" w:rsidRPr="0040670C" w:rsidRDefault="00B70CE9" w:rsidP="00B70CE9">
      <w:pPr>
        <w:jc w:val="center"/>
        <w:rPr>
          <w:b/>
          <w:i/>
          <w:sz w:val="48"/>
          <w:szCs w:val="48"/>
        </w:rPr>
      </w:pPr>
      <w:r>
        <w:rPr>
          <w:b/>
          <w:i/>
          <w:sz w:val="72"/>
          <w:szCs w:val="72"/>
        </w:rPr>
        <w:tab/>
      </w:r>
      <w:r>
        <w:rPr>
          <w:b/>
          <w:i/>
          <w:sz w:val="72"/>
          <w:szCs w:val="72"/>
        </w:rPr>
        <w:tab/>
      </w:r>
      <w:r>
        <w:rPr>
          <w:b/>
          <w:i/>
          <w:sz w:val="72"/>
          <w:szCs w:val="72"/>
        </w:rPr>
        <w:tab/>
      </w:r>
      <w:r>
        <w:rPr>
          <w:b/>
          <w:i/>
          <w:sz w:val="72"/>
          <w:szCs w:val="72"/>
        </w:rPr>
        <w:tab/>
      </w:r>
      <w:r>
        <w:rPr>
          <w:b/>
          <w:i/>
          <w:sz w:val="72"/>
          <w:szCs w:val="72"/>
        </w:rPr>
        <w:tab/>
      </w:r>
    </w:p>
    <w:p w:rsidR="00B70CE9" w:rsidRPr="006852C7" w:rsidRDefault="00B70CE9" w:rsidP="00B70CE9">
      <w:pPr>
        <w:jc w:val="center"/>
        <w:rPr>
          <w:bCs/>
          <w:i/>
          <w:sz w:val="72"/>
          <w:szCs w:val="72"/>
        </w:rPr>
      </w:pPr>
      <w:r w:rsidRPr="00F50351">
        <w:rPr>
          <w:b/>
          <w:i/>
          <w:sz w:val="72"/>
          <w:szCs w:val="72"/>
        </w:rPr>
        <w:t>Obec Veterná Poruba</w:t>
      </w:r>
    </w:p>
    <w:p w:rsidR="00B70CE9" w:rsidRPr="00F50351" w:rsidRDefault="00B70CE9" w:rsidP="00B70CE9">
      <w:pPr>
        <w:rPr>
          <w:b/>
          <w:i/>
          <w:sz w:val="36"/>
          <w:szCs w:val="36"/>
        </w:rPr>
      </w:pPr>
      <w:r w:rsidRPr="00F50351">
        <w:rPr>
          <w:b/>
          <w:i/>
          <w:sz w:val="36"/>
          <w:szCs w:val="36"/>
        </w:rPr>
        <w:t>_______________________________________________</w:t>
      </w:r>
    </w:p>
    <w:p w:rsidR="00B70CE9" w:rsidRPr="00F50351" w:rsidRDefault="00B70CE9" w:rsidP="00B70CE9"/>
    <w:p w:rsidR="00B70CE9" w:rsidRPr="00F50351" w:rsidRDefault="00B70CE9" w:rsidP="00B70CE9"/>
    <w:p w:rsidR="00B70CE9" w:rsidRDefault="00B70CE9" w:rsidP="00B70CE9"/>
    <w:p w:rsidR="00B70CE9" w:rsidRPr="00F50351" w:rsidRDefault="00B70CE9" w:rsidP="00B70CE9"/>
    <w:p w:rsidR="00B70CE9" w:rsidRDefault="00B70CE9" w:rsidP="00B70CE9">
      <w:pPr>
        <w:jc w:val="center"/>
        <w:rPr>
          <w:b/>
          <w:noProof/>
          <w:sz w:val="40"/>
          <w:szCs w:val="40"/>
        </w:rPr>
      </w:pPr>
      <w:r w:rsidRPr="00A20543">
        <w:rPr>
          <w:b/>
          <w:noProof/>
          <w:sz w:val="40"/>
          <w:szCs w:val="40"/>
        </w:rPr>
        <w:drawing>
          <wp:inline distT="0" distB="0" distL="0" distR="0">
            <wp:extent cx="990600" cy="1133475"/>
            <wp:effectExtent l="0" t="0" r="0" b="9525"/>
            <wp:docPr id="1" name="Obrázok 1" descr="erb 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 vp"/>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1133475"/>
                    </a:xfrm>
                    <a:prstGeom prst="rect">
                      <a:avLst/>
                    </a:prstGeom>
                    <a:noFill/>
                    <a:ln>
                      <a:noFill/>
                    </a:ln>
                  </pic:spPr>
                </pic:pic>
              </a:graphicData>
            </a:graphic>
          </wp:inline>
        </w:drawing>
      </w:r>
    </w:p>
    <w:p w:rsidR="00B70CE9" w:rsidRDefault="00B70CE9" w:rsidP="00B70CE9"/>
    <w:p w:rsidR="00B70CE9" w:rsidRPr="00CF242E" w:rsidRDefault="00B70CE9" w:rsidP="00B70CE9">
      <w:pPr>
        <w:jc w:val="center"/>
        <w:rPr>
          <w:b/>
          <w:sz w:val="52"/>
          <w:szCs w:val="52"/>
        </w:rPr>
      </w:pPr>
      <w:r w:rsidRPr="00CF242E">
        <w:rPr>
          <w:b/>
          <w:sz w:val="52"/>
          <w:szCs w:val="52"/>
        </w:rPr>
        <w:t>N Á V R H</w:t>
      </w:r>
    </w:p>
    <w:p w:rsidR="00B70CE9" w:rsidRPr="00F50351" w:rsidRDefault="00B70CE9" w:rsidP="00B70CE9"/>
    <w:p w:rsidR="00B70CE9" w:rsidRPr="00DF327E" w:rsidRDefault="00B70CE9" w:rsidP="00B70CE9">
      <w:pPr>
        <w:jc w:val="center"/>
        <w:rPr>
          <w:b/>
          <w:i/>
          <w:sz w:val="52"/>
          <w:szCs w:val="52"/>
        </w:rPr>
      </w:pPr>
      <w:r w:rsidRPr="00DF327E">
        <w:rPr>
          <w:b/>
          <w:i/>
          <w:sz w:val="52"/>
          <w:szCs w:val="52"/>
        </w:rPr>
        <w:t>Všeobecne záväzné nariadenie</w:t>
      </w:r>
    </w:p>
    <w:p w:rsidR="00B70CE9" w:rsidRDefault="00B70CE9" w:rsidP="00B70CE9">
      <w:pPr>
        <w:jc w:val="center"/>
        <w:rPr>
          <w:b/>
          <w:i/>
          <w:sz w:val="48"/>
          <w:szCs w:val="48"/>
        </w:rPr>
      </w:pPr>
    </w:p>
    <w:p w:rsidR="00B70CE9" w:rsidRPr="00CE14CD" w:rsidRDefault="00B70CE9" w:rsidP="00B70CE9">
      <w:pPr>
        <w:jc w:val="center"/>
        <w:rPr>
          <w:b/>
          <w:i/>
          <w:sz w:val="48"/>
          <w:szCs w:val="48"/>
        </w:rPr>
      </w:pPr>
      <w:r w:rsidRPr="00CE14CD">
        <w:rPr>
          <w:b/>
          <w:i/>
          <w:sz w:val="48"/>
          <w:szCs w:val="48"/>
        </w:rPr>
        <w:t xml:space="preserve">č. </w:t>
      </w:r>
      <w:r>
        <w:rPr>
          <w:b/>
          <w:i/>
          <w:sz w:val="48"/>
          <w:szCs w:val="48"/>
        </w:rPr>
        <w:t>3</w:t>
      </w:r>
      <w:r w:rsidRPr="00CE14CD">
        <w:rPr>
          <w:b/>
          <w:i/>
          <w:sz w:val="48"/>
          <w:szCs w:val="48"/>
        </w:rPr>
        <w:t>/202</w:t>
      </w:r>
      <w:r>
        <w:rPr>
          <w:b/>
          <w:i/>
          <w:sz w:val="48"/>
          <w:szCs w:val="48"/>
        </w:rPr>
        <w:t>5</w:t>
      </w:r>
    </w:p>
    <w:p w:rsidR="00B70CE9" w:rsidRDefault="00B70CE9" w:rsidP="00B70CE9">
      <w:pPr>
        <w:jc w:val="center"/>
        <w:rPr>
          <w:b/>
          <w:i/>
          <w:sz w:val="48"/>
          <w:szCs w:val="48"/>
        </w:rPr>
      </w:pPr>
    </w:p>
    <w:p w:rsidR="00B70CE9" w:rsidRPr="00DF327E" w:rsidRDefault="00B70CE9" w:rsidP="00B70CE9">
      <w:pPr>
        <w:jc w:val="center"/>
        <w:rPr>
          <w:b/>
          <w:i/>
          <w:sz w:val="48"/>
          <w:szCs w:val="48"/>
        </w:rPr>
      </w:pPr>
    </w:p>
    <w:p w:rsidR="00B70CE9" w:rsidRDefault="00B70CE9" w:rsidP="00B70CE9">
      <w:pPr>
        <w:jc w:val="center"/>
        <w:rPr>
          <w:b/>
          <w:bCs/>
          <w:sz w:val="36"/>
          <w:szCs w:val="36"/>
        </w:rPr>
      </w:pPr>
      <w:r w:rsidRPr="00B70CE9">
        <w:rPr>
          <w:b/>
          <w:bCs/>
          <w:sz w:val="36"/>
          <w:szCs w:val="36"/>
        </w:rPr>
        <w:t>o ustanovení výšky miestneho poplatku za rozvoj</w:t>
      </w:r>
    </w:p>
    <w:p w:rsidR="00B70CE9" w:rsidRDefault="00B70CE9" w:rsidP="00B70CE9">
      <w:pPr>
        <w:jc w:val="center"/>
        <w:rPr>
          <w:b/>
          <w:sz w:val="28"/>
          <w:szCs w:val="28"/>
        </w:rPr>
      </w:pPr>
    </w:p>
    <w:p w:rsidR="00B70CE9" w:rsidRDefault="00B70CE9" w:rsidP="00B70CE9">
      <w:pPr>
        <w:jc w:val="center"/>
        <w:rPr>
          <w:b/>
          <w:sz w:val="28"/>
          <w:szCs w:val="28"/>
        </w:rPr>
      </w:pPr>
    </w:p>
    <w:p w:rsidR="00B70CE9" w:rsidRPr="00A20543" w:rsidRDefault="00B70CE9" w:rsidP="00B70CE9">
      <w:pPr>
        <w:jc w:val="center"/>
        <w:rPr>
          <w:b/>
          <w:sz w:val="28"/>
          <w:szCs w:val="28"/>
        </w:rPr>
      </w:pPr>
    </w:p>
    <w:p w:rsidR="00B70CE9" w:rsidRDefault="00B70CE9" w:rsidP="00B70CE9">
      <w:r>
        <w:t>Obecné zastupiteľstvo obce Veterná Poruba podľa §4 ods.3 písm. c) a §6 ods. 1 zákona č. 369/1990 Zb. o obecnom zriadení v znení  neskorších predpisov  a v súlade s ustanovením zákona č. 447/2015 Z .z. o miestnom poplatku za rozvoj a o zmene a doplnení niektorých zákonov ( ďalej len „zákon o miestnom poplatku“) vydáva</w:t>
      </w:r>
    </w:p>
    <w:p w:rsidR="00B70CE9" w:rsidRDefault="00B70CE9" w:rsidP="00B70CE9"/>
    <w:p w:rsidR="00B70CE9" w:rsidRDefault="00B70CE9" w:rsidP="00B70CE9"/>
    <w:p w:rsidR="00B70CE9" w:rsidRPr="00DF0EB3" w:rsidRDefault="00B70CE9" w:rsidP="00B70CE9">
      <w:pPr>
        <w:rPr>
          <w:b/>
        </w:rPr>
      </w:pPr>
      <w:r w:rsidRPr="00DF0EB3">
        <w:rPr>
          <w:b/>
        </w:rPr>
        <w:t xml:space="preserve">                                 Všeobecne záväzné nariadenie Obce Veterná Poruba</w:t>
      </w:r>
    </w:p>
    <w:p w:rsidR="00B70CE9" w:rsidRPr="00DF0EB3" w:rsidRDefault="00B70CE9" w:rsidP="00B70CE9">
      <w:pPr>
        <w:rPr>
          <w:b/>
        </w:rPr>
      </w:pPr>
      <w:r w:rsidRPr="00DF0EB3">
        <w:rPr>
          <w:b/>
        </w:rPr>
        <w:t xml:space="preserve">                                                                  Č </w:t>
      </w:r>
      <w:r>
        <w:rPr>
          <w:b/>
        </w:rPr>
        <w:t>3</w:t>
      </w:r>
      <w:r w:rsidRPr="00DF0EB3">
        <w:rPr>
          <w:b/>
        </w:rPr>
        <w:t>/</w:t>
      </w:r>
      <w:r>
        <w:rPr>
          <w:b/>
        </w:rPr>
        <w:t>2025</w:t>
      </w:r>
    </w:p>
    <w:p w:rsidR="00B70CE9" w:rsidRPr="00DF0EB3" w:rsidRDefault="00B70CE9" w:rsidP="00B70CE9">
      <w:pPr>
        <w:rPr>
          <w:b/>
        </w:rPr>
      </w:pPr>
      <w:r w:rsidRPr="00DF0EB3">
        <w:rPr>
          <w:b/>
        </w:rPr>
        <w:t xml:space="preserve">                                  O ustanovení  výšky miestneho poplatku za rozvoj </w:t>
      </w:r>
    </w:p>
    <w:p w:rsidR="00B70CE9" w:rsidRPr="000E3F10" w:rsidRDefault="00B70CE9" w:rsidP="00B70CE9">
      <w:pPr>
        <w:rPr>
          <w:b/>
        </w:rPr>
      </w:pPr>
    </w:p>
    <w:p w:rsidR="00B70CE9" w:rsidRPr="000E3F10" w:rsidRDefault="00B70CE9" w:rsidP="00B70CE9">
      <w:pPr>
        <w:rPr>
          <w:b/>
        </w:rPr>
      </w:pPr>
      <w:r w:rsidRPr="000E3F10">
        <w:rPr>
          <w:b/>
        </w:rPr>
        <w:t xml:space="preserve">                                                                Čl. I.</w:t>
      </w:r>
    </w:p>
    <w:p w:rsidR="00B70CE9" w:rsidRPr="000E3F10" w:rsidRDefault="00B70CE9" w:rsidP="00B70CE9">
      <w:pPr>
        <w:rPr>
          <w:b/>
        </w:rPr>
      </w:pPr>
      <w:r w:rsidRPr="000E3F10">
        <w:rPr>
          <w:b/>
        </w:rPr>
        <w:t xml:space="preserve">                                                         Všeobecné ustanovenia </w:t>
      </w:r>
    </w:p>
    <w:p w:rsidR="00B70CE9" w:rsidRDefault="00B70CE9" w:rsidP="00B70CE9">
      <w:r>
        <w:t xml:space="preserve">1.Týmto všeobecne záväzným nariadením  (ďalej len VZN) obec Veterná Poruba upravuje podmienky  určovania, vyberania a výšku sadzieb poplatku za rozvoj na území obce Veterná Poruba,  a to od účinnosti  tohto VZN. </w:t>
      </w:r>
    </w:p>
    <w:p w:rsidR="00B70CE9" w:rsidRPr="000E3F10" w:rsidRDefault="00B70CE9" w:rsidP="00B70CE9">
      <w:pPr>
        <w:rPr>
          <w:b/>
        </w:rPr>
      </w:pPr>
    </w:p>
    <w:p w:rsidR="00B70CE9" w:rsidRPr="000E3F10" w:rsidRDefault="00B70CE9" w:rsidP="00B70CE9">
      <w:pPr>
        <w:rPr>
          <w:b/>
        </w:rPr>
      </w:pPr>
      <w:r w:rsidRPr="000E3F10">
        <w:rPr>
          <w:b/>
        </w:rPr>
        <w:t xml:space="preserve">                                                               Čl. II.</w:t>
      </w:r>
    </w:p>
    <w:p w:rsidR="00B70CE9" w:rsidRPr="000E3F10" w:rsidRDefault="00B70CE9" w:rsidP="00B70CE9">
      <w:pPr>
        <w:rPr>
          <w:b/>
        </w:rPr>
      </w:pPr>
      <w:r w:rsidRPr="000E3F10">
        <w:rPr>
          <w:b/>
        </w:rPr>
        <w:t xml:space="preserve">                                                     Predmet poplatku </w:t>
      </w:r>
    </w:p>
    <w:p w:rsidR="00B70CE9" w:rsidRPr="00DF0EB3" w:rsidRDefault="00B70CE9" w:rsidP="00B70CE9">
      <w:r>
        <w:t>2. Predmetom poplatku za rozvoj je pozemná stavba na území obce:</w:t>
      </w:r>
    </w:p>
    <w:p w:rsidR="00B70CE9" w:rsidRPr="00DF0EB3" w:rsidRDefault="00B70CE9" w:rsidP="00B70CE9">
      <w:pPr>
        <w:shd w:val="clear" w:color="auto" w:fill="FFFFFF"/>
        <w:jc w:val="both"/>
        <w:rPr>
          <w:rFonts w:cstheme="minorHAnsi"/>
          <w:color w:val="000000"/>
        </w:rPr>
      </w:pPr>
      <w:r w:rsidRPr="00DF0EB3">
        <w:rPr>
          <w:rFonts w:cstheme="minorHAnsi"/>
          <w:color w:val="000000"/>
        </w:rPr>
        <w:t>Predmetom poplatku za rozvoj je budova na území obce uvedená v</w:t>
      </w:r>
    </w:p>
    <w:p w:rsidR="00B70CE9" w:rsidRDefault="00B70CE9" w:rsidP="00B70CE9">
      <w:pPr>
        <w:shd w:val="clear" w:color="auto" w:fill="FFFFFF"/>
        <w:jc w:val="both"/>
        <w:rPr>
          <w:rFonts w:cstheme="minorHAnsi"/>
          <w:color w:val="000000"/>
        </w:rPr>
      </w:pPr>
      <w:r w:rsidRPr="00DF0EB3">
        <w:rPr>
          <w:rFonts w:cstheme="minorHAnsi"/>
          <w:color w:val="000000"/>
        </w:rPr>
        <w:t>a)právoplatnom rozhodnutí o stavebnom zámer</w:t>
      </w:r>
      <w:r>
        <w:rPr>
          <w:rFonts w:cstheme="minorHAnsi"/>
          <w:color w:val="000000"/>
        </w:rPr>
        <w:t>e</w:t>
      </w:r>
    </w:p>
    <w:p w:rsidR="00B70CE9" w:rsidRPr="00DF0EB3" w:rsidRDefault="00B70CE9" w:rsidP="00B70CE9">
      <w:pPr>
        <w:shd w:val="clear" w:color="auto" w:fill="FFFFFF"/>
        <w:jc w:val="both"/>
        <w:rPr>
          <w:rFonts w:cstheme="minorHAnsi"/>
          <w:color w:val="000000"/>
        </w:rPr>
      </w:pPr>
      <w:r w:rsidRPr="00DF0EB3">
        <w:rPr>
          <w:rFonts w:cstheme="minorHAnsi"/>
          <w:color w:val="000000"/>
        </w:rPr>
        <w:t>b)právoplatnom rozhodnutí o stavebnom zámere na zmenu dokončenej stavby,</w:t>
      </w:r>
    </w:p>
    <w:p w:rsidR="00B70CE9" w:rsidRPr="00DF0EB3" w:rsidRDefault="00B70CE9" w:rsidP="00B70CE9">
      <w:pPr>
        <w:shd w:val="clear" w:color="auto" w:fill="FFFFFF"/>
        <w:jc w:val="both"/>
        <w:rPr>
          <w:rFonts w:cstheme="minorHAnsi"/>
          <w:color w:val="000000"/>
        </w:rPr>
      </w:pPr>
      <w:r w:rsidRPr="00DF0EB3">
        <w:rPr>
          <w:rFonts w:cstheme="minorHAnsi"/>
          <w:color w:val="000000"/>
        </w:rPr>
        <w:t>c)overenom projekte stavby na ohlásenie s vydanou overovacou doložkou,</w:t>
      </w:r>
    </w:p>
    <w:p w:rsidR="00B70CE9" w:rsidRDefault="00B70CE9" w:rsidP="00B70CE9">
      <w:pPr>
        <w:shd w:val="clear" w:color="auto" w:fill="FFFFFF"/>
        <w:jc w:val="both"/>
        <w:rPr>
          <w:rFonts w:cstheme="minorHAnsi"/>
          <w:color w:val="000000"/>
        </w:rPr>
      </w:pPr>
      <w:r w:rsidRPr="00DF0EB3">
        <w:rPr>
          <w:rFonts w:cstheme="minorHAnsi"/>
          <w:color w:val="000000"/>
        </w:rPr>
        <w:t>d)právoplatnom rozhodnutí o spôsobilosti stavby na užívanie,alebo</w:t>
      </w:r>
    </w:p>
    <w:p w:rsidR="00B70CE9" w:rsidRPr="00DF0EB3" w:rsidRDefault="00B70CE9" w:rsidP="00B70CE9">
      <w:pPr>
        <w:shd w:val="clear" w:color="auto" w:fill="FFFFFF"/>
        <w:jc w:val="both"/>
        <w:rPr>
          <w:rFonts w:cstheme="minorHAnsi"/>
          <w:color w:val="000000"/>
        </w:rPr>
      </w:pPr>
      <w:r w:rsidRPr="00DF0EB3">
        <w:rPr>
          <w:rFonts w:cstheme="minorHAnsi"/>
          <w:color w:val="000000"/>
        </w:rPr>
        <w:t>e)právoplatnom rozhodnutí o dodatočnom povolení stavby</w:t>
      </w:r>
    </w:p>
    <w:p w:rsidR="00B70CE9" w:rsidRPr="000B6A58" w:rsidRDefault="00B70CE9" w:rsidP="00B70CE9">
      <w:pPr>
        <w:shd w:val="clear" w:color="auto" w:fill="FFFFFF"/>
        <w:jc w:val="both"/>
        <w:rPr>
          <w:rFonts w:ascii="Arial" w:hAnsi="Arial" w:cs="Arial"/>
          <w:color w:val="000000"/>
          <w:sz w:val="29"/>
          <w:szCs w:val="29"/>
        </w:rPr>
      </w:pPr>
      <w:r>
        <w:rPr>
          <w:rFonts w:cstheme="minorHAnsi"/>
          <w:color w:val="000000"/>
        </w:rPr>
        <w:t>3.</w:t>
      </w:r>
      <w:r w:rsidRPr="00DF0EB3">
        <w:rPr>
          <w:rFonts w:cstheme="minorHAnsi"/>
          <w:color w:val="000000"/>
        </w:rPr>
        <w:t>Predmetom poplatku za</w:t>
      </w:r>
      <w:r>
        <w:rPr>
          <w:rFonts w:cstheme="minorHAnsi"/>
          <w:color w:val="000000"/>
        </w:rPr>
        <w:t xml:space="preserve"> rozvoj je stavba podľa odseku 2</w:t>
      </w:r>
      <w:r w:rsidRPr="00DF0EB3">
        <w:rPr>
          <w:rFonts w:cstheme="minorHAnsi"/>
          <w:color w:val="000000"/>
        </w:rPr>
        <w:t xml:space="preserve">, ak jej uskutočnením vznikne nová alebo ďalšia podlahová plocha v nadzemnej časti stavby, </w:t>
      </w:r>
      <w:r w:rsidRPr="000B6A58">
        <w:rPr>
          <w:rFonts w:cstheme="minorHAnsi"/>
          <w:color w:val="000000" w:themeColor="text1"/>
        </w:rPr>
        <w:t>ak </w:t>
      </w:r>
      <w:hyperlink r:id="rId6" w:anchor="paragraf-6.odsek-8" w:tooltip="Odkaz na predpis alebo ustanovenie" w:history="1">
        <w:r w:rsidRPr="000B6A58">
          <w:rPr>
            <w:rFonts w:cstheme="minorHAnsi"/>
            <w:color w:val="000000" w:themeColor="text1"/>
            <w:u w:val="single"/>
          </w:rPr>
          <w:t>§ 6 ods. 8</w:t>
        </w:r>
      </w:hyperlink>
      <w:r w:rsidRPr="000B6A58">
        <w:rPr>
          <w:rFonts w:cstheme="minorHAnsi"/>
          <w:color w:val="000000" w:themeColor="text1"/>
        </w:rPr>
        <w:t> a </w:t>
      </w:r>
      <w:hyperlink r:id="rId7" w:anchor="paragraf-16.odsek-3" w:tooltip="Odkaz na predpis alebo ustanovenie" w:history="1">
        <w:r w:rsidRPr="000B6A58">
          <w:rPr>
            <w:rFonts w:cstheme="minorHAnsi"/>
            <w:color w:val="000000" w:themeColor="text1"/>
            <w:u w:val="single"/>
          </w:rPr>
          <w:t>§ 16 ods. 3</w:t>
        </w:r>
      </w:hyperlink>
      <w:r>
        <w:t xml:space="preserve"> zákona o miestnom poplatku </w:t>
      </w:r>
      <w:r>
        <w:rPr>
          <w:rFonts w:cstheme="minorHAnsi"/>
          <w:color w:val="000000"/>
        </w:rPr>
        <w:t xml:space="preserve"> neustanovuje </w:t>
      </w:r>
      <w:r w:rsidRPr="00DF0EB3">
        <w:rPr>
          <w:rFonts w:cstheme="minorHAnsi"/>
          <w:color w:val="000000"/>
        </w:rPr>
        <w:t xml:space="preserve"> inak. Odstránením stavby sa podlahová plocha nadzemnej časti pôvodnej stavby odpočítava od novovzniknutej podlahovej plochy zhotovovanej stavby za predpokladu, že nadväzujúce rozhodnutie o stavebnom zámere nadobudne právoplatnosť najneskôr do štyroch rokov odo dňa nadobudnutia právoplatnosti rozhodnutia o stavebnom zámere na odstránenie stavby alebo nariadenia odstránenia stavby.</w:t>
      </w:r>
    </w:p>
    <w:p w:rsidR="00B70CE9" w:rsidRDefault="00B70CE9" w:rsidP="00B70CE9">
      <w:pPr>
        <w:shd w:val="clear" w:color="auto" w:fill="FFFFFF"/>
        <w:jc w:val="both"/>
        <w:rPr>
          <w:rFonts w:cstheme="minorHAnsi"/>
          <w:color w:val="000000"/>
          <w:u w:val="single"/>
        </w:rPr>
      </w:pPr>
    </w:p>
    <w:p w:rsidR="00B70CE9" w:rsidRDefault="00B70CE9" w:rsidP="00B70CE9">
      <w:pPr>
        <w:shd w:val="clear" w:color="auto" w:fill="FFFFFF"/>
        <w:jc w:val="both"/>
        <w:rPr>
          <w:rFonts w:cstheme="minorHAnsi"/>
          <w:b/>
          <w:color w:val="000000"/>
        </w:rPr>
      </w:pPr>
      <w:r>
        <w:rPr>
          <w:rFonts w:cstheme="minorHAnsi"/>
          <w:b/>
          <w:color w:val="000000"/>
        </w:rPr>
        <w:t xml:space="preserve">                                                                Čl. III.</w:t>
      </w:r>
    </w:p>
    <w:p w:rsidR="00B70CE9" w:rsidRDefault="00B70CE9" w:rsidP="00B70CE9">
      <w:pPr>
        <w:shd w:val="clear" w:color="auto" w:fill="FFFFFF"/>
        <w:jc w:val="both"/>
        <w:rPr>
          <w:rFonts w:cstheme="minorHAnsi"/>
          <w:b/>
          <w:color w:val="000000"/>
        </w:rPr>
      </w:pPr>
      <w:r>
        <w:rPr>
          <w:rFonts w:cstheme="minorHAnsi"/>
          <w:b/>
          <w:color w:val="000000"/>
        </w:rPr>
        <w:t xml:space="preserve">                                                      Sadzba poplatku</w:t>
      </w:r>
    </w:p>
    <w:p w:rsidR="00B70CE9" w:rsidRDefault="00B70CE9" w:rsidP="00B70CE9">
      <w:pPr>
        <w:shd w:val="clear" w:color="auto" w:fill="FFFFFF"/>
        <w:jc w:val="both"/>
        <w:rPr>
          <w:rFonts w:cstheme="minorHAnsi"/>
          <w:color w:val="000000"/>
        </w:rPr>
      </w:pPr>
      <w:r>
        <w:rPr>
          <w:rFonts w:cstheme="minorHAnsi"/>
          <w:b/>
          <w:color w:val="000000"/>
        </w:rPr>
        <w:t>1.</w:t>
      </w:r>
      <w:r>
        <w:rPr>
          <w:rFonts w:cstheme="minorHAnsi"/>
          <w:color w:val="000000"/>
        </w:rPr>
        <w:t>Sadzba poplatku za rozvoj sa za každý , aj začatý m</w:t>
      </w:r>
      <w:r>
        <w:rPr>
          <w:rFonts w:cstheme="minorHAnsi"/>
          <w:color w:val="000000"/>
          <w:vertAlign w:val="superscript"/>
        </w:rPr>
        <w:t>2</w:t>
      </w:r>
      <w:r>
        <w:rPr>
          <w:rFonts w:cstheme="minorHAnsi"/>
          <w:color w:val="000000"/>
        </w:rPr>
        <w:t xml:space="preserve"> podlahovej plochy nadzemnej časti  stavby na území obce stanovuje pre:</w:t>
      </w:r>
    </w:p>
    <w:tbl>
      <w:tblPr>
        <w:tblStyle w:val="Mriekatabuky"/>
        <w:tblW w:w="0" w:type="auto"/>
        <w:tblLook w:val="04A0"/>
      </w:tblPr>
      <w:tblGrid>
        <w:gridCol w:w="400"/>
        <w:gridCol w:w="5749"/>
        <w:gridCol w:w="3071"/>
      </w:tblGrid>
      <w:tr w:rsidR="00B70CE9" w:rsidTr="00477FF5">
        <w:tc>
          <w:tcPr>
            <w:tcW w:w="392" w:type="dxa"/>
          </w:tcPr>
          <w:p w:rsidR="00B70CE9" w:rsidRDefault="00B70CE9" w:rsidP="00477FF5">
            <w:pPr>
              <w:jc w:val="both"/>
              <w:rPr>
                <w:rFonts w:cstheme="minorHAnsi"/>
                <w:color w:val="000000"/>
              </w:rPr>
            </w:pPr>
            <w:r>
              <w:rPr>
                <w:rFonts w:cstheme="minorHAnsi"/>
                <w:color w:val="000000"/>
              </w:rPr>
              <w:t>a)</w:t>
            </w:r>
          </w:p>
        </w:tc>
        <w:tc>
          <w:tcPr>
            <w:tcW w:w="5749" w:type="dxa"/>
          </w:tcPr>
          <w:p w:rsidR="00B70CE9" w:rsidRDefault="00B70CE9" w:rsidP="00477FF5">
            <w:pPr>
              <w:jc w:val="both"/>
              <w:rPr>
                <w:rFonts w:cstheme="minorHAnsi"/>
                <w:color w:val="000000"/>
              </w:rPr>
            </w:pPr>
            <w:r>
              <w:rPr>
                <w:rFonts w:cstheme="minorHAnsi"/>
                <w:color w:val="000000"/>
              </w:rPr>
              <w:t xml:space="preserve">Stavby na bývanie </w:t>
            </w:r>
          </w:p>
        </w:tc>
        <w:tc>
          <w:tcPr>
            <w:tcW w:w="3071" w:type="dxa"/>
          </w:tcPr>
          <w:p w:rsidR="00B70CE9" w:rsidRPr="000B6A58" w:rsidRDefault="00B70CE9" w:rsidP="00477FF5">
            <w:pPr>
              <w:jc w:val="both"/>
              <w:rPr>
                <w:rFonts w:cstheme="minorHAnsi"/>
                <w:color w:val="000000"/>
                <w:vertAlign w:val="superscript"/>
              </w:rPr>
            </w:pPr>
            <w:r>
              <w:rPr>
                <w:rFonts w:cstheme="minorHAnsi"/>
                <w:color w:val="000000"/>
              </w:rPr>
              <w:t>15 eur/m</w:t>
            </w:r>
            <w:r>
              <w:rPr>
                <w:rFonts w:cstheme="minorHAnsi"/>
                <w:color w:val="000000"/>
                <w:vertAlign w:val="superscript"/>
              </w:rPr>
              <w:t>2</w:t>
            </w:r>
          </w:p>
        </w:tc>
      </w:tr>
      <w:tr w:rsidR="00B70CE9" w:rsidTr="00477FF5">
        <w:tc>
          <w:tcPr>
            <w:tcW w:w="392" w:type="dxa"/>
          </w:tcPr>
          <w:p w:rsidR="00B70CE9" w:rsidRDefault="00B70CE9" w:rsidP="00477FF5">
            <w:pPr>
              <w:jc w:val="both"/>
              <w:rPr>
                <w:rFonts w:cstheme="minorHAnsi"/>
                <w:color w:val="000000"/>
              </w:rPr>
            </w:pPr>
            <w:r>
              <w:rPr>
                <w:rFonts w:cstheme="minorHAnsi"/>
                <w:color w:val="000000"/>
              </w:rPr>
              <w:t>b)</w:t>
            </w:r>
          </w:p>
        </w:tc>
        <w:tc>
          <w:tcPr>
            <w:tcW w:w="5749" w:type="dxa"/>
          </w:tcPr>
          <w:p w:rsidR="00B70CE9" w:rsidRDefault="00B70CE9" w:rsidP="00477FF5">
            <w:pPr>
              <w:jc w:val="both"/>
              <w:rPr>
                <w:rFonts w:cstheme="minorHAnsi"/>
                <w:color w:val="000000"/>
              </w:rPr>
            </w:pPr>
            <w:r>
              <w:rPr>
                <w:rFonts w:cstheme="minorHAnsi"/>
                <w:color w:val="000000"/>
              </w:rPr>
              <w:t>Stavby na pôdohospodársku produkciu, skleníky, stavby pre vodné hospodárstvo, stavby využívané na skladovanie vlastnej pôdohospodárskej produkcie, vrátane stavieb na vlastnú administratívu</w:t>
            </w:r>
          </w:p>
        </w:tc>
        <w:tc>
          <w:tcPr>
            <w:tcW w:w="3071" w:type="dxa"/>
          </w:tcPr>
          <w:p w:rsidR="00B70CE9" w:rsidRPr="000B6A58" w:rsidRDefault="00B70CE9" w:rsidP="00477FF5">
            <w:pPr>
              <w:jc w:val="both"/>
              <w:rPr>
                <w:rFonts w:cstheme="minorHAnsi"/>
                <w:color w:val="000000"/>
                <w:vertAlign w:val="superscript"/>
              </w:rPr>
            </w:pPr>
            <w:r>
              <w:rPr>
                <w:rFonts w:cstheme="minorHAnsi"/>
                <w:color w:val="000000"/>
              </w:rPr>
              <w:t>15 eur/m</w:t>
            </w:r>
            <w:r>
              <w:rPr>
                <w:rFonts w:cstheme="minorHAnsi"/>
                <w:color w:val="000000"/>
                <w:vertAlign w:val="superscript"/>
              </w:rPr>
              <w:t>2</w:t>
            </w:r>
          </w:p>
        </w:tc>
      </w:tr>
      <w:tr w:rsidR="00B70CE9" w:rsidTr="00477FF5">
        <w:tc>
          <w:tcPr>
            <w:tcW w:w="392" w:type="dxa"/>
          </w:tcPr>
          <w:p w:rsidR="00B70CE9" w:rsidRDefault="00B70CE9" w:rsidP="00477FF5">
            <w:pPr>
              <w:jc w:val="both"/>
              <w:rPr>
                <w:rFonts w:cstheme="minorHAnsi"/>
                <w:color w:val="000000"/>
              </w:rPr>
            </w:pPr>
            <w:r>
              <w:rPr>
                <w:rFonts w:cstheme="minorHAnsi"/>
                <w:color w:val="000000"/>
              </w:rPr>
              <w:t>c)</w:t>
            </w:r>
          </w:p>
        </w:tc>
        <w:tc>
          <w:tcPr>
            <w:tcW w:w="5749" w:type="dxa"/>
          </w:tcPr>
          <w:p w:rsidR="00B70CE9" w:rsidRDefault="00B70CE9" w:rsidP="00477FF5">
            <w:pPr>
              <w:jc w:val="both"/>
              <w:rPr>
                <w:rFonts w:cstheme="minorHAnsi"/>
                <w:color w:val="000000"/>
              </w:rPr>
            </w:pPr>
            <w:r>
              <w:rPr>
                <w:rFonts w:cstheme="minorHAnsi"/>
                <w:color w:val="000000"/>
              </w:rPr>
              <w:t>Priemyselné stavby a stavby využívané na skladovanie, vrátane stavieb na vlastnú administratívu</w:t>
            </w:r>
          </w:p>
        </w:tc>
        <w:tc>
          <w:tcPr>
            <w:tcW w:w="3071" w:type="dxa"/>
          </w:tcPr>
          <w:p w:rsidR="00B70CE9" w:rsidRPr="000B6A58" w:rsidRDefault="00B70CE9" w:rsidP="00477FF5">
            <w:pPr>
              <w:jc w:val="both"/>
              <w:rPr>
                <w:rFonts w:cstheme="minorHAnsi"/>
                <w:color w:val="000000"/>
                <w:vertAlign w:val="superscript"/>
              </w:rPr>
            </w:pPr>
            <w:r>
              <w:rPr>
                <w:rFonts w:cstheme="minorHAnsi"/>
                <w:color w:val="000000"/>
              </w:rPr>
              <w:t>25 eur/m</w:t>
            </w:r>
            <w:r>
              <w:rPr>
                <w:rFonts w:cstheme="minorHAnsi"/>
                <w:color w:val="000000"/>
                <w:vertAlign w:val="superscript"/>
              </w:rPr>
              <w:t>2</w:t>
            </w:r>
          </w:p>
        </w:tc>
      </w:tr>
      <w:tr w:rsidR="00B70CE9" w:rsidTr="00477FF5">
        <w:tc>
          <w:tcPr>
            <w:tcW w:w="392" w:type="dxa"/>
          </w:tcPr>
          <w:p w:rsidR="00B70CE9" w:rsidRDefault="00B70CE9" w:rsidP="00477FF5">
            <w:pPr>
              <w:jc w:val="both"/>
              <w:rPr>
                <w:rFonts w:cstheme="minorHAnsi"/>
                <w:color w:val="000000"/>
              </w:rPr>
            </w:pPr>
            <w:r>
              <w:rPr>
                <w:rFonts w:cstheme="minorHAnsi"/>
                <w:color w:val="000000"/>
              </w:rPr>
              <w:t>d)</w:t>
            </w:r>
          </w:p>
        </w:tc>
        <w:tc>
          <w:tcPr>
            <w:tcW w:w="5749" w:type="dxa"/>
          </w:tcPr>
          <w:p w:rsidR="00B70CE9" w:rsidRDefault="00B70CE9" w:rsidP="00477FF5">
            <w:pPr>
              <w:jc w:val="both"/>
              <w:rPr>
                <w:rFonts w:cstheme="minorHAnsi"/>
                <w:color w:val="000000"/>
              </w:rPr>
            </w:pPr>
            <w:r>
              <w:rPr>
                <w:rFonts w:cstheme="minorHAnsi"/>
                <w:color w:val="000000"/>
              </w:rPr>
              <w:t>Stavby na ostatné podnikanie a na zárobkovú činnosť, stavby využívané na skladovanie a administratívu súvisiacu s ostatným podnikaním a so zárobkovou činnosťou</w:t>
            </w:r>
          </w:p>
        </w:tc>
        <w:tc>
          <w:tcPr>
            <w:tcW w:w="3071" w:type="dxa"/>
          </w:tcPr>
          <w:p w:rsidR="00B70CE9" w:rsidRDefault="00B70CE9" w:rsidP="00477FF5">
            <w:pPr>
              <w:jc w:val="both"/>
              <w:rPr>
                <w:rFonts w:cstheme="minorHAnsi"/>
                <w:color w:val="000000"/>
              </w:rPr>
            </w:pPr>
            <w:r>
              <w:rPr>
                <w:rFonts w:cstheme="minorHAnsi"/>
                <w:color w:val="000000"/>
              </w:rPr>
              <w:t>25 eur/m2</w:t>
            </w:r>
          </w:p>
        </w:tc>
      </w:tr>
      <w:tr w:rsidR="00B70CE9" w:rsidTr="00477FF5">
        <w:tc>
          <w:tcPr>
            <w:tcW w:w="392" w:type="dxa"/>
          </w:tcPr>
          <w:p w:rsidR="00B70CE9" w:rsidRDefault="00B70CE9" w:rsidP="00477FF5">
            <w:pPr>
              <w:jc w:val="both"/>
              <w:rPr>
                <w:rFonts w:cstheme="minorHAnsi"/>
                <w:color w:val="000000"/>
              </w:rPr>
            </w:pPr>
            <w:r>
              <w:rPr>
                <w:rFonts w:cstheme="minorHAnsi"/>
                <w:color w:val="000000"/>
              </w:rPr>
              <w:t>e)</w:t>
            </w:r>
          </w:p>
        </w:tc>
        <w:tc>
          <w:tcPr>
            <w:tcW w:w="5749" w:type="dxa"/>
          </w:tcPr>
          <w:p w:rsidR="00B70CE9" w:rsidRDefault="00B70CE9" w:rsidP="00477FF5">
            <w:pPr>
              <w:jc w:val="both"/>
              <w:rPr>
                <w:rFonts w:cstheme="minorHAnsi"/>
                <w:color w:val="000000"/>
              </w:rPr>
            </w:pPr>
            <w:r>
              <w:rPr>
                <w:rFonts w:cstheme="minorHAnsi"/>
                <w:color w:val="000000"/>
              </w:rPr>
              <w:t xml:space="preserve">Ostatné stavby </w:t>
            </w:r>
          </w:p>
        </w:tc>
        <w:tc>
          <w:tcPr>
            <w:tcW w:w="3071" w:type="dxa"/>
          </w:tcPr>
          <w:p w:rsidR="00B70CE9" w:rsidRPr="007C5440" w:rsidRDefault="00B70CE9" w:rsidP="00477FF5">
            <w:pPr>
              <w:jc w:val="both"/>
              <w:rPr>
                <w:rFonts w:cstheme="minorHAnsi"/>
                <w:color w:val="000000"/>
                <w:vertAlign w:val="superscript"/>
              </w:rPr>
            </w:pPr>
            <w:r>
              <w:rPr>
                <w:rFonts w:cstheme="minorHAnsi"/>
                <w:color w:val="000000"/>
              </w:rPr>
              <w:t>15 eur/m</w:t>
            </w:r>
            <w:r>
              <w:rPr>
                <w:rFonts w:cstheme="minorHAnsi"/>
                <w:color w:val="000000"/>
                <w:vertAlign w:val="superscript"/>
              </w:rPr>
              <w:t>2</w:t>
            </w:r>
          </w:p>
        </w:tc>
      </w:tr>
    </w:tbl>
    <w:p w:rsidR="00B70CE9" w:rsidRDefault="00B70CE9" w:rsidP="00B70CE9">
      <w:pPr>
        <w:shd w:val="clear" w:color="auto" w:fill="FFFFFF"/>
        <w:jc w:val="both"/>
        <w:rPr>
          <w:rFonts w:cstheme="minorHAnsi"/>
          <w:color w:val="000000"/>
        </w:rPr>
      </w:pPr>
    </w:p>
    <w:p w:rsidR="00B70CE9" w:rsidRDefault="00B70CE9" w:rsidP="00B70CE9">
      <w:pPr>
        <w:shd w:val="clear" w:color="auto" w:fill="FFFFFF"/>
        <w:jc w:val="both"/>
        <w:rPr>
          <w:rFonts w:cstheme="minorHAnsi"/>
          <w:color w:val="000000"/>
        </w:rPr>
      </w:pPr>
    </w:p>
    <w:p w:rsidR="00B70CE9" w:rsidRPr="001E7466" w:rsidRDefault="00B70CE9" w:rsidP="00B70CE9">
      <w:pPr>
        <w:shd w:val="clear" w:color="auto" w:fill="FFFFFF"/>
        <w:jc w:val="both"/>
        <w:rPr>
          <w:rFonts w:ascii="Arial" w:hAnsi="Arial" w:cs="Arial"/>
          <w:color w:val="000000"/>
          <w:sz w:val="29"/>
          <w:szCs w:val="29"/>
        </w:rPr>
      </w:pPr>
    </w:p>
    <w:p w:rsidR="00B70CE9" w:rsidRDefault="00B70CE9" w:rsidP="00B70CE9">
      <w:pPr>
        <w:shd w:val="clear" w:color="auto" w:fill="FFFFFF"/>
        <w:jc w:val="both"/>
        <w:rPr>
          <w:rFonts w:cstheme="minorHAnsi"/>
          <w:b/>
          <w:color w:val="000000"/>
        </w:rPr>
      </w:pPr>
      <w:r>
        <w:rPr>
          <w:rFonts w:cstheme="minorHAnsi"/>
          <w:b/>
          <w:color w:val="000000"/>
        </w:rPr>
        <w:t>Článok IV.</w:t>
      </w:r>
    </w:p>
    <w:p w:rsidR="00B70CE9" w:rsidRPr="00E64086" w:rsidRDefault="00B70CE9" w:rsidP="00B70CE9">
      <w:pPr>
        <w:shd w:val="clear" w:color="auto" w:fill="FFFFFF"/>
        <w:jc w:val="both"/>
        <w:rPr>
          <w:rFonts w:cstheme="minorHAnsi"/>
          <w:b/>
          <w:color w:val="000000"/>
        </w:rPr>
      </w:pPr>
      <w:r>
        <w:rPr>
          <w:rFonts w:cstheme="minorHAnsi"/>
          <w:b/>
          <w:color w:val="000000"/>
        </w:rPr>
        <w:t xml:space="preserve">                                               Použitie poplatku za rozvoj </w:t>
      </w:r>
    </w:p>
    <w:p w:rsidR="00B70CE9" w:rsidRDefault="00B70CE9" w:rsidP="00B70CE9">
      <w:pPr>
        <w:shd w:val="clear" w:color="auto" w:fill="FFFFFF"/>
        <w:jc w:val="both"/>
        <w:rPr>
          <w:rFonts w:ascii="Arial" w:hAnsi="Arial" w:cs="Arial"/>
          <w:color w:val="000000"/>
          <w:sz w:val="29"/>
          <w:szCs w:val="29"/>
        </w:rPr>
      </w:pPr>
      <w:r w:rsidRPr="00E64086">
        <w:rPr>
          <w:rFonts w:cstheme="minorHAnsi"/>
          <w:color w:val="000000"/>
        </w:rPr>
        <w:t xml:space="preserve">Použitie výnosu z poplatku Výnos z poplatku za rozvoj je príjmom rozpočtu obce. Výnos z poplatku vyrubený </w:t>
      </w:r>
      <w:r>
        <w:rPr>
          <w:rFonts w:cstheme="minorHAnsi"/>
          <w:color w:val="000000"/>
        </w:rPr>
        <w:t xml:space="preserve">za stavby umiestnené v obci Veterná Poruba </w:t>
      </w:r>
      <w:r w:rsidRPr="00E64086">
        <w:rPr>
          <w:rFonts w:cstheme="minorHAnsi"/>
          <w:color w:val="000000"/>
        </w:rPr>
        <w:t xml:space="preserve"> sa použije na účely určené zákonom v obci </w:t>
      </w:r>
      <w:r>
        <w:rPr>
          <w:rFonts w:cstheme="minorHAnsi"/>
          <w:color w:val="000000"/>
        </w:rPr>
        <w:t>Veterná Poruba .</w:t>
      </w:r>
    </w:p>
    <w:p w:rsidR="00B70CE9" w:rsidRPr="00E64086" w:rsidRDefault="00B70CE9" w:rsidP="00B70CE9">
      <w:pPr>
        <w:shd w:val="clear" w:color="auto" w:fill="FFFFFF"/>
        <w:jc w:val="both"/>
        <w:rPr>
          <w:rFonts w:ascii="Arial" w:hAnsi="Arial" w:cs="Arial"/>
          <w:b/>
          <w:color w:val="000000"/>
          <w:sz w:val="29"/>
          <w:szCs w:val="29"/>
        </w:rPr>
      </w:pPr>
    </w:p>
    <w:p w:rsidR="00B70CE9" w:rsidRPr="00E64086" w:rsidRDefault="00B70CE9" w:rsidP="00B70CE9">
      <w:pPr>
        <w:shd w:val="clear" w:color="auto" w:fill="FFFFFF"/>
        <w:jc w:val="both"/>
        <w:rPr>
          <w:rFonts w:cstheme="minorHAnsi"/>
          <w:b/>
          <w:color w:val="000000"/>
        </w:rPr>
      </w:pPr>
      <w:r>
        <w:rPr>
          <w:rFonts w:cstheme="minorHAnsi"/>
          <w:b/>
          <w:color w:val="000000"/>
        </w:rPr>
        <w:t>Článok V</w:t>
      </w:r>
      <w:r w:rsidR="00231ADB">
        <w:rPr>
          <w:rFonts w:cstheme="minorHAnsi"/>
          <w:b/>
          <w:color w:val="000000"/>
        </w:rPr>
        <w:t>.</w:t>
      </w:r>
    </w:p>
    <w:p w:rsidR="00B70CE9" w:rsidRPr="00E64086" w:rsidRDefault="00B70CE9" w:rsidP="00B70CE9">
      <w:pPr>
        <w:shd w:val="clear" w:color="auto" w:fill="FFFFFF"/>
        <w:jc w:val="both"/>
        <w:rPr>
          <w:rFonts w:cstheme="minorHAnsi"/>
          <w:b/>
          <w:color w:val="000000"/>
        </w:rPr>
      </w:pPr>
      <w:r w:rsidRPr="00E64086">
        <w:rPr>
          <w:rFonts w:cstheme="minorHAnsi"/>
          <w:b/>
          <w:color w:val="000000"/>
        </w:rPr>
        <w:t xml:space="preserve">                                                   Záverečné ustanovenia </w:t>
      </w:r>
    </w:p>
    <w:p w:rsidR="00B70CE9" w:rsidRDefault="00B70CE9" w:rsidP="00B70CE9">
      <w:pPr>
        <w:shd w:val="clear" w:color="auto" w:fill="FFFFFF"/>
        <w:jc w:val="both"/>
        <w:rPr>
          <w:rFonts w:cstheme="minorHAnsi"/>
          <w:color w:val="000000"/>
        </w:rPr>
      </w:pPr>
      <w:r w:rsidRPr="00E64086">
        <w:rPr>
          <w:rFonts w:cstheme="minorHAnsi"/>
          <w:color w:val="000000"/>
        </w:rPr>
        <w:t xml:space="preserve">1. Poplatok za rozvoj vyrubí obec rozhodnutím. Vyrubený poplatok za rozvoj je splatný do 15 dní odo dňa nadobudnutia právoplatnosti rozhodnutia. Obec môže určiť na základe žiadosti poplatníka platenie poplatku za rozvoj v splátkach. Splátky sú splatné v lehotách určených obcou v rozhodnutí, ktorým sa o platení v splátkach rozhoduje, pričom proti tomuto rozhodnutiu sa nemožno odvolať. </w:t>
      </w:r>
    </w:p>
    <w:p w:rsidR="00B70CE9" w:rsidRDefault="00B70CE9" w:rsidP="00B70CE9">
      <w:pPr>
        <w:shd w:val="clear" w:color="auto" w:fill="FFFFFF"/>
        <w:jc w:val="both"/>
        <w:rPr>
          <w:rFonts w:cstheme="minorHAnsi"/>
          <w:color w:val="000000"/>
        </w:rPr>
      </w:pPr>
      <w:r w:rsidRPr="00E64086">
        <w:rPr>
          <w:rFonts w:cstheme="minorHAnsi"/>
          <w:color w:val="000000"/>
        </w:rPr>
        <w:t xml:space="preserve">2. Všetky ostatné podrobnosti o predmete poplatku, osobe poplatníka, základe poplatku, vzniku a zániku poplatkovej povinnosti, o spôsobe výpočtu poplatku, ako aj vyrubení, splatnosti, platení, nároku na vrátenie poplatku a použitie poplatku, ustanovuje zákon č. 447/2015 Z. z. o miestnom poplatku za rozvoj a o zmene a doplnení niektorých zákonov v znení neskorších predpisov. </w:t>
      </w:r>
    </w:p>
    <w:p w:rsidR="00B70CE9" w:rsidRDefault="00B70CE9" w:rsidP="00B70CE9">
      <w:pPr>
        <w:shd w:val="clear" w:color="auto" w:fill="FFFFFF"/>
        <w:jc w:val="both"/>
        <w:rPr>
          <w:rFonts w:cstheme="minorHAnsi"/>
          <w:color w:val="000000"/>
        </w:rPr>
      </w:pPr>
      <w:r>
        <w:rPr>
          <w:rFonts w:cstheme="minorHAnsi"/>
          <w:color w:val="000000"/>
        </w:rPr>
        <w:t xml:space="preserve">3.Obec ustanovuje informácie o výške výnosu poplatku za rozvoj a jeho používaní od 30.06 na úradnej tabuli a na webovom sídle obce. </w:t>
      </w:r>
    </w:p>
    <w:p w:rsidR="00B70CE9" w:rsidRDefault="00B70CE9" w:rsidP="00B70CE9">
      <w:pPr>
        <w:shd w:val="clear" w:color="auto" w:fill="FFFFFF"/>
        <w:jc w:val="both"/>
        <w:rPr>
          <w:rFonts w:cstheme="minorHAnsi"/>
          <w:color w:val="000000"/>
        </w:rPr>
      </w:pPr>
      <w:r w:rsidRPr="00E64086">
        <w:rPr>
          <w:rFonts w:cstheme="minorHAnsi"/>
          <w:color w:val="000000"/>
        </w:rPr>
        <w:t>3. Týmto nariadením sa ruší Všeobe</w:t>
      </w:r>
      <w:r>
        <w:rPr>
          <w:rFonts w:cstheme="minorHAnsi"/>
          <w:color w:val="000000"/>
        </w:rPr>
        <w:t>cne záväzné nariadenie Obce Veterná Poruba  č. 7/2018</w:t>
      </w:r>
      <w:r w:rsidRPr="00E64086">
        <w:rPr>
          <w:rFonts w:cstheme="minorHAnsi"/>
          <w:color w:val="000000"/>
        </w:rPr>
        <w:t xml:space="preserve">. </w:t>
      </w:r>
    </w:p>
    <w:p w:rsidR="00B70CE9" w:rsidRDefault="00B70CE9" w:rsidP="00B70CE9">
      <w:pPr>
        <w:shd w:val="clear" w:color="auto" w:fill="FFFFFF"/>
        <w:jc w:val="both"/>
        <w:rPr>
          <w:rFonts w:cstheme="minorHAnsi"/>
          <w:color w:val="000000"/>
        </w:rPr>
      </w:pPr>
      <w:r w:rsidRPr="00E64086">
        <w:rPr>
          <w:rFonts w:cstheme="minorHAnsi"/>
          <w:color w:val="000000"/>
        </w:rPr>
        <w:t>4. Na tomto nariadení sa uznieslo Obecné zastupiteľstvo v</w:t>
      </w:r>
      <w:r>
        <w:rPr>
          <w:rFonts w:cstheme="minorHAnsi"/>
          <w:color w:val="000000"/>
        </w:rPr>
        <w:t xml:space="preserve">o  Veternej Porube </w:t>
      </w:r>
      <w:r w:rsidRPr="00E64086">
        <w:rPr>
          <w:rFonts w:cstheme="minorHAnsi"/>
          <w:color w:val="000000"/>
        </w:rPr>
        <w:t xml:space="preserve"> dňa......... </w:t>
      </w:r>
    </w:p>
    <w:p w:rsidR="00B70CE9" w:rsidRDefault="00B70CE9" w:rsidP="00B70CE9">
      <w:pPr>
        <w:shd w:val="clear" w:color="auto" w:fill="FFFFFF"/>
        <w:jc w:val="both"/>
        <w:rPr>
          <w:rFonts w:cstheme="minorHAnsi"/>
          <w:color w:val="000000"/>
        </w:rPr>
      </w:pPr>
      <w:r w:rsidRPr="00E64086">
        <w:rPr>
          <w:rFonts w:cstheme="minorHAnsi"/>
          <w:color w:val="000000"/>
        </w:rPr>
        <w:t>5.Nariadenie nadobúda platnosť dňom jeho schválenia Obecným zastupiteľstvom v</w:t>
      </w:r>
      <w:r>
        <w:rPr>
          <w:rFonts w:cstheme="minorHAnsi"/>
          <w:color w:val="000000"/>
        </w:rPr>
        <w:t xml:space="preserve">o Veternej Porube </w:t>
      </w:r>
      <w:r w:rsidRPr="00E64086">
        <w:rPr>
          <w:rFonts w:cstheme="minorHAnsi"/>
          <w:color w:val="000000"/>
        </w:rPr>
        <w:t xml:space="preserve"> a jeho vyvesením na úradnej ta</w:t>
      </w:r>
      <w:r>
        <w:rPr>
          <w:rFonts w:cstheme="minorHAnsi"/>
          <w:color w:val="000000"/>
        </w:rPr>
        <w:t>buli obce.</w:t>
      </w:r>
    </w:p>
    <w:p w:rsidR="00B70CE9" w:rsidRDefault="00B70CE9" w:rsidP="00B70CE9">
      <w:pPr>
        <w:shd w:val="clear" w:color="auto" w:fill="FFFFFF"/>
        <w:jc w:val="both"/>
        <w:rPr>
          <w:rFonts w:cstheme="minorHAnsi"/>
          <w:color w:val="000000"/>
        </w:rPr>
      </w:pPr>
      <w:r w:rsidRPr="00E64086">
        <w:rPr>
          <w:rFonts w:cstheme="minorHAnsi"/>
          <w:color w:val="000000"/>
        </w:rPr>
        <w:t>6. Toto nariadenie nad</w:t>
      </w:r>
      <w:r>
        <w:rPr>
          <w:rFonts w:cstheme="minorHAnsi"/>
          <w:color w:val="000000"/>
        </w:rPr>
        <w:t xml:space="preserve">obúda účinnosť dňom </w:t>
      </w:r>
      <w:r w:rsidR="00186A6B">
        <w:rPr>
          <w:rFonts w:cstheme="minorHAnsi"/>
          <w:color w:val="000000"/>
        </w:rPr>
        <w:t>01.01.2026</w:t>
      </w:r>
    </w:p>
    <w:p w:rsidR="00B70CE9" w:rsidRDefault="00B70CE9" w:rsidP="00B70CE9">
      <w:pPr>
        <w:shd w:val="clear" w:color="auto" w:fill="FFFFFF"/>
        <w:jc w:val="both"/>
        <w:rPr>
          <w:rFonts w:cstheme="minorHAnsi"/>
          <w:color w:val="000000"/>
        </w:rPr>
      </w:pPr>
    </w:p>
    <w:p w:rsidR="00B70CE9" w:rsidRDefault="00B70CE9" w:rsidP="00B70CE9">
      <w:pPr>
        <w:shd w:val="clear" w:color="auto" w:fill="FFFFFF"/>
        <w:jc w:val="both"/>
        <w:rPr>
          <w:rFonts w:cstheme="minorHAnsi"/>
          <w:color w:val="000000"/>
        </w:rPr>
      </w:pPr>
      <w:r>
        <w:rPr>
          <w:rFonts w:cstheme="minorHAnsi"/>
          <w:color w:val="000000"/>
        </w:rPr>
        <w:t>Mgr. art. Martin Socháň</w:t>
      </w:r>
    </w:p>
    <w:p w:rsidR="00B70CE9" w:rsidRDefault="00B70CE9" w:rsidP="00B70CE9">
      <w:pPr>
        <w:shd w:val="clear" w:color="auto" w:fill="FFFFFF"/>
        <w:jc w:val="both"/>
        <w:rPr>
          <w:rFonts w:cstheme="minorHAnsi"/>
          <w:color w:val="000000"/>
        </w:rPr>
      </w:pPr>
      <w:r>
        <w:rPr>
          <w:rFonts w:cstheme="minorHAnsi"/>
          <w:color w:val="000000"/>
        </w:rPr>
        <w:t xml:space="preserve">starosta obce </w:t>
      </w:r>
    </w:p>
    <w:p w:rsidR="00B70CE9" w:rsidRDefault="00741751" w:rsidP="00B70CE9">
      <w:pPr>
        <w:shd w:val="clear" w:color="auto" w:fill="FFFFFF"/>
        <w:jc w:val="both"/>
        <w:rPr>
          <w:rFonts w:cstheme="minorHAnsi"/>
          <w:color w:val="000000"/>
        </w:rPr>
      </w:pPr>
      <w:r>
        <w:rPr>
          <w:rFonts w:cstheme="minorHAnsi"/>
          <w:noProof/>
          <w:color w:val="000000"/>
        </w:rPr>
      </w:r>
      <w:r>
        <w:rPr>
          <w:rFonts w:cstheme="minorHAnsi"/>
          <w:noProof/>
          <w:color w:val="000000"/>
        </w:rPr>
        <w:pict>
          <v:rect id="paragraf-5-icon-tooltip-copy" o:spid="_x0000_s1035" alt="Odkaz bol skopírovaný do schránk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Pr>
          <w:rFonts w:cstheme="minorHAnsi"/>
          <w:noProof/>
          <w:color w:val="000000"/>
        </w:rPr>
      </w:r>
      <w:r>
        <w:rPr>
          <w:rFonts w:cstheme="minorHAnsi"/>
          <w:noProof/>
          <w:color w:val="000000"/>
        </w:rPr>
        <w:pict>
          <v:rect id="paragraf-5-icon-copy" o:spid="_x0000_s1034" alt="Kopírovať"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Pr>
          <w:rFonts w:cstheme="minorHAnsi"/>
          <w:noProof/>
          <w:color w:val="000000"/>
        </w:rPr>
      </w:r>
      <w:r>
        <w:rPr>
          <w:rFonts w:cstheme="minorHAnsi"/>
          <w:noProof/>
          <w:color w:val="000000"/>
        </w:rPr>
        <w:pict>
          <v:rect id="paragraf-5-tooltip-compare" o:spid="_x0000_s1033" alt="Porovnať verzi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Pr>
          <w:rFonts w:cstheme="minorHAnsi"/>
          <w:noProof/>
          <w:color w:val="000000"/>
        </w:rPr>
      </w:r>
      <w:r>
        <w:rPr>
          <w:rFonts w:cstheme="minorHAnsi"/>
          <w:noProof/>
          <w:color w:val="000000"/>
        </w:rPr>
        <w:pict>
          <v:rect id="paragraf-5-icon-compare" o:spid="_x0000_s1032" alt="Porovnať verzi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p>
    <w:p w:rsidR="00B70CE9" w:rsidRDefault="00B70CE9" w:rsidP="00B70CE9">
      <w:pPr>
        <w:shd w:val="clear" w:color="auto" w:fill="FFFFFF"/>
        <w:jc w:val="both"/>
        <w:rPr>
          <w:rFonts w:cstheme="minorHAnsi"/>
          <w:color w:val="000000"/>
        </w:rPr>
      </w:pPr>
    </w:p>
    <w:p w:rsidR="00B70CE9" w:rsidRDefault="00B70CE9" w:rsidP="00B70CE9">
      <w:pPr>
        <w:shd w:val="clear" w:color="auto" w:fill="FFFFFF"/>
        <w:jc w:val="both"/>
        <w:rPr>
          <w:rFonts w:cstheme="minorHAnsi"/>
          <w:color w:val="000000"/>
        </w:rPr>
      </w:pPr>
      <w:r>
        <w:rPr>
          <w:rFonts w:cstheme="minorHAnsi"/>
          <w:color w:val="000000"/>
        </w:rPr>
        <w:t xml:space="preserve">Návrh VZN bol podľa §6 ods.3 zákona č. 369/1990 Z. z. zverejnený </w:t>
      </w:r>
    </w:p>
    <w:p w:rsidR="00B70CE9" w:rsidRDefault="00B70CE9" w:rsidP="00B70CE9">
      <w:pPr>
        <w:shd w:val="clear" w:color="auto" w:fill="FFFFFF"/>
        <w:jc w:val="both"/>
        <w:rPr>
          <w:rFonts w:cstheme="minorHAnsi"/>
          <w:color w:val="000000"/>
        </w:rPr>
      </w:pPr>
      <w:r>
        <w:rPr>
          <w:rFonts w:cstheme="minorHAnsi"/>
          <w:color w:val="000000"/>
        </w:rPr>
        <w:t xml:space="preserve">Od:      21.11.2025                    do: </w:t>
      </w:r>
    </w:p>
    <w:p w:rsidR="00B70CE9" w:rsidRDefault="00B70CE9" w:rsidP="00B70CE9">
      <w:pPr>
        <w:shd w:val="clear" w:color="auto" w:fill="FFFFFF"/>
        <w:jc w:val="both"/>
        <w:rPr>
          <w:rFonts w:cstheme="minorHAnsi"/>
          <w:color w:val="000000"/>
        </w:rPr>
      </w:pPr>
      <w:r>
        <w:rPr>
          <w:rFonts w:cstheme="minorHAnsi"/>
          <w:color w:val="000000"/>
        </w:rPr>
        <w:t>Toto VZN bolo podľa §6 ods.8, 9  zákona č. 369*1990 Z. z. vyvesené</w:t>
      </w:r>
    </w:p>
    <w:p w:rsidR="00B70CE9" w:rsidRPr="001E7466" w:rsidRDefault="00B70CE9" w:rsidP="00B70CE9">
      <w:pPr>
        <w:shd w:val="clear" w:color="auto" w:fill="FFFFFF"/>
        <w:jc w:val="both"/>
        <w:rPr>
          <w:rFonts w:cstheme="minorHAnsi"/>
          <w:color w:val="000000"/>
        </w:rPr>
      </w:pPr>
      <w:r>
        <w:rPr>
          <w:rFonts w:cstheme="minorHAnsi"/>
          <w:color w:val="000000"/>
        </w:rPr>
        <w:t>Od:                          do:</w:t>
      </w:r>
      <w:r w:rsidR="00741751">
        <w:rPr>
          <w:rFonts w:cstheme="minorHAnsi"/>
          <w:noProof/>
          <w:color w:val="000000"/>
        </w:rPr>
      </w:r>
      <w:r w:rsidR="00741751">
        <w:rPr>
          <w:rFonts w:cstheme="minorHAnsi"/>
          <w:noProof/>
          <w:color w:val="000000"/>
        </w:rPr>
        <w:pict>
          <v:rect id="paragraf-5.nadpis-icon-tooltip-copy" o:spid="_x0000_s1031" alt="Odkaz bol skopírovaný do schránk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741751">
        <w:rPr>
          <w:rFonts w:cstheme="minorHAnsi"/>
          <w:noProof/>
          <w:color w:val="000000"/>
        </w:rPr>
      </w:r>
      <w:r w:rsidR="00741751">
        <w:rPr>
          <w:rFonts w:cstheme="minorHAnsi"/>
          <w:noProof/>
          <w:color w:val="000000"/>
        </w:rPr>
        <w:pict>
          <v:rect id="paragraf-5.nadpis-icon-copy" o:spid="_x0000_s1030" alt="Kopírovať"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741751">
        <w:rPr>
          <w:rFonts w:cstheme="minorHAnsi"/>
          <w:noProof/>
          <w:color w:val="000000"/>
        </w:rPr>
      </w:r>
      <w:r w:rsidR="00741751">
        <w:rPr>
          <w:rFonts w:cstheme="minorHAnsi"/>
          <w:noProof/>
          <w:color w:val="000000"/>
        </w:rPr>
        <w:pict>
          <v:rect id="AutoShape 7" o:spid="_x0000_s1029" alt="Porovnať verzi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741751">
        <w:rPr>
          <w:rFonts w:cstheme="minorHAnsi"/>
          <w:noProof/>
          <w:color w:val="000000"/>
        </w:rPr>
      </w:r>
      <w:r w:rsidR="00741751">
        <w:rPr>
          <w:rFonts w:cstheme="minorHAnsi"/>
          <w:noProof/>
          <w:color w:val="000000"/>
        </w:rPr>
        <w:pict>
          <v:rect id="AutoShape 8" o:spid="_x0000_s1028" alt="Porovnať verzi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741751">
        <w:rPr>
          <w:rFonts w:cstheme="minorHAnsi"/>
          <w:noProof/>
          <w:color w:val="000000"/>
        </w:rPr>
      </w:r>
      <w:r w:rsidR="00741751">
        <w:rPr>
          <w:rFonts w:cstheme="minorHAnsi"/>
          <w:noProof/>
          <w:color w:val="000000"/>
        </w:rPr>
        <w:pict>
          <v:rect id="AutoShape 9" o:spid="_x0000_s1027" alt="Porovnať verzi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741751">
        <w:rPr>
          <w:rFonts w:cstheme="minorHAnsi"/>
          <w:noProof/>
          <w:color w:val="000000"/>
        </w:rPr>
      </w:r>
      <w:r w:rsidR="00741751">
        <w:rPr>
          <w:rFonts w:cstheme="minorHAnsi"/>
          <w:noProof/>
          <w:color w:val="000000"/>
        </w:rPr>
        <w:pict>
          <v:rect id="AutoShape 10" o:spid="_x0000_s1026" alt="Porovnať verzi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p>
    <w:p w:rsidR="00B70CE9" w:rsidRPr="001E7466" w:rsidRDefault="00B70CE9" w:rsidP="00B70CE9">
      <w:pPr>
        <w:shd w:val="clear" w:color="auto" w:fill="FFFFFF"/>
        <w:jc w:val="both"/>
        <w:rPr>
          <w:rFonts w:ascii="Arial" w:hAnsi="Arial" w:cs="Arial"/>
          <w:color w:val="000000"/>
          <w:sz w:val="29"/>
          <w:szCs w:val="29"/>
        </w:rPr>
      </w:pPr>
      <w:r w:rsidRPr="001E7466">
        <w:rPr>
          <w:rFonts w:ascii="Arial" w:hAnsi="Arial" w:cs="Arial"/>
          <w:color w:val="000000"/>
          <w:sz w:val="29"/>
          <w:szCs w:val="29"/>
        </w:rPr>
        <w:t> </w:t>
      </w:r>
    </w:p>
    <w:p w:rsidR="00B70CE9" w:rsidRPr="001E7466" w:rsidRDefault="00B70CE9" w:rsidP="00B70CE9">
      <w:pPr>
        <w:shd w:val="clear" w:color="auto" w:fill="FFFFFF"/>
        <w:jc w:val="both"/>
        <w:rPr>
          <w:rFonts w:ascii="Arial" w:hAnsi="Arial" w:cs="Arial"/>
          <w:b/>
          <w:bCs/>
          <w:color w:val="000000"/>
          <w:sz w:val="29"/>
          <w:szCs w:val="29"/>
        </w:rPr>
      </w:pPr>
    </w:p>
    <w:p w:rsidR="00B70CE9" w:rsidRPr="001E7466" w:rsidRDefault="00B70CE9" w:rsidP="00B70CE9">
      <w:pPr>
        <w:shd w:val="clear" w:color="auto" w:fill="FFFFFF"/>
        <w:jc w:val="both"/>
        <w:rPr>
          <w:rFonts w:cstheme="minorHAnsi"/>
          <w:color w:val="000000" w:themeColor="text1"/>
        </w:rPr>
      </w:pPr>
    </w:p>
    <w:p w:rsidR="00B70CE9" w:rsidRPr="000E3F10" w:rsidRDefault="00B70CE9" w:rsidP="00B70CE9">
      <w:pPr>
        <w:shd w:val="clear" w:color="auto" w:fill="FFFFFF"/>
        <w:jc w:val="both"/>
        <w:rPr>
          <w:rFonts w:cstheme="minorHAnsi"/>
          <w:color w:val="000000" w:themeColor="text1"/>
        </w:rPr>
      </w:pPr>
    </w:p>
    <w:p w:rsidR="00B70CE9" w:rsidRDefault="00B70CE9" w:rsidP="00B70CE9">
      <w:pPr>
        <w:shd w:val="clear" w:color="auto" w:fill="FFFFFF"/>
        <w:jc w:val="both"/>
        <w:rPr>
          <w:rFonts w:cstheme="minorHAnsi"/>
          <w:color w:val="0000FF"/>
          <w:u w:val="single"/>
        </w:rPr>
      </w:pPr>
    </w:p>
    <w:p w:rsidR="00B70CE9" w:rsidRDefault="00B70CE9" w:rsidP="00B70CE9">
      <w:pPr>
        <w:shd w:val="clear" w:color="auto" w:fill="FFFFFF"/>
        <w:jc w:val="both"/>
        <w:rPr>
          <w:rFonts w:cstheme="minorHAnsi"/>
          <w:color w:val="0000FF"/>
          <w:u w:val="single"/>
        </w:rPr>
      </w:pPr>
    </w:p>
    <w:p w:rsidR="00B70CE9" w:rsidRPr="00DF0EB3" w:rsidRDefault="00B70CE9" w:rsidP="00B70CE9">
      <w:pPr>
        <w:shd w:val="clear" w:color="auto" w:fill="FFFFFF"/>
        <w:jc w:val="both"/>
        <w:rPr>
          <w:rFonts w:cstheme="minorHAnsi"/>
          <w:color w:val="000000"/>
        </w:rPr>
      </w:pPr>
    </w:p>
    <w:p w:rsidR="00B70CE9" w:rsidRDefault="00B70CE9" w:rsidP="00B70CE9">
      <w:pPr>
        <w:rPr>
          <w:rFonts w:cstheme="minorHAnsi"/>
          <w:u w:val="single"/>
        </w:rPr>
      </w:pPr>
    </w:p>
    <w:p w:rsidR="00B70CE9" w:rsidRDefault="00B70CE9" w:rsidP="00B70CE9">
      <w:pPr>
        <w:rPr>
          <w:rFonts w:cstheme="minorHAnsi"/>
          <w:u w:val="single"/>
        </w:rPr>
      </w:pPr>
    </w:p>
    <w:p w:rsidR="00B70CE9" w:rsidRDefault="00B70CE9" w:rsidP="00B70CE9">
      <w:pPr>
        <w:rPr>
          <w:rFonts w:cstheme="minorHAnsi"/>
        </w:rPr>
      </w:pPr>
      <w:r>
        <w:rPr>
          <w:rFonts w:cstheme="minorHAnsi"/>
        </w:rPr>
        <w:t xml:space="preserve">Príloha č. 1 Zákon č. 447/2015  o miestnom poplatku za rozvoj </w:t>
      </w:r>
    </w:p>
    <w:p w:rsidR="00B70CE9" w:rsidRDefault="00B70CE9" w:rsidP="00B70CE9">
      <w:pPr>
        <w:rPr>
          <w:rFonts w:cstheme="minorHAnsi"/>
        </w:rPr>
      </w:pPr>
      <w:r>
        <w:rPr>
          <w:rFonts w:cstheme="minorHAnsi"/>
        </w:rPr>
        <w:t xml:space="preserve">Príloha č. 2 k VZN č.        3/2025          </w:t>
      </w:r>
    </w:p>
    <w:p w:rsidR="00B70CE9" w:rsidRDefault="00B70CE9" w:rsidP="00B70CE9">
      <w:pPr>
        <w:rPr>
          <w:rFonts w:cstheme="minorHAnsi"/>
          <w:b/>
          <w:u w:val="single"/>
        </w:rPr>
      </w:pPr>
      <w:r w:rsidRPr="001E4390">
        <w:rPr>
          <w:b/>
        </w:rPr>
        <w:t xml:space="preserve">Štruktúra údajov o výmere podlahovej plochy nadzemnej časti realizovanej stavby </w:t>
      </w:r>
    </w:p>
    <w:tbl>
      <w:tblPr>
        <w:tblStyle w:val="Mriekatabuky"/>
        <w:tblW w:w="0" w:type="auto"/>
        <w:tblLook w:val="04A0"/>
      </w:tblPr>
      <w:tblGrid>
        <w:gridCol w:w="2802"/>
        <w:gridCol w:w="6410"/>
      </w:tblGrid>
      <w:tr w:rsidR="00B70CE9" w:rsidTr="00477FF5">
        <w:tc>
          <w:tcPr>
            <w:tcW w:w="2802" w:type="dxa"/>
          </w:tcPr>
          <w:p w:rsidR="00B70CE9" w:rsidRPr="001E4390" w:rsidRDefault="00B70CE9" w:rsidP="00477FF5">
            <w:pPr>
              <w:rPr>
                <w:rFonts w:cstheme="minorHAnsi"/>
              </w:rPr>
            </w:pPr>
            <w:r w:rsidRPr="001E4390">
              <w:rPr>
                <w:rFonts w:cstheme="minorHAnsi"/>
              </w:rPr>
              <w:t>Stavba :</w:t>
            </w:r>
          </w:p>
        </w:tc>
        <w:tc>
          <w:tcPr>
            <w:tcW w:w="6410" w:type="dxa"/>
          </w:tcPr>
          <w:p w:rsidR="00B70CE9" w:rsidRDefault="00B70CE9" w:rsidP="00477FF5">
            <w:pPr>
              <w:rPr>
                <w:rFonts w:cstheme="minorHAnsi"/>
                <w:b/>
              </w:rPr>
            </w:pPr>
          </w:p>
        </w:tc>
      </w:tr>
      <w:tr w:rsidR="00B70CE9" w:rsidTr="00477FF5">
        <w:tc>
          <w:tcPr>
            <w:tcW w:w="2802" w:type="dxa"/>
          </w:tcPr>
          <w:p w:rsidR="00B70CE9" w:rsidRPr="001E4390" w:rsidRDefault="00B70CE9" w:rsidP="00477FF5">
            <w:pPr>
              <w:rPr>
                <w:rFonts w:cstheme="minorHAnsi"/>
              </w:rPr>
            </w:pPr>
            <w:r w:rsidRPr="001E4390">
              <w:rPr>
                <w:rFonts w:cstheme="minorHAnsi"/>
              </w:rPr>
              <w:lastRenderedPageBreak/>
              <w:t>Miesto stavby:</w:t>
            </w:r>
          </w:p>
        </w:tc>
        <w:tc>
          <w:tcPr>
            <w:tcW w:w="6410" w:type="dxa"/>
          </w:tcPr>
          <w:p w:rsidR="00B70CE9" w:rsidRDefault="00B70CE9" w:rsidP="00477FF5">
            <w:pPr>
              <w:rPr>
                <w:rFonts w:cstheme="minorHAnsi"/>
                <w:b/>
              </w:rPr>
            </w:pPr>
          </w:p>
        </w:tc>
      </w:tr>
      <w:tr w:rsidR="00B70CE9" w:rsidTr="00477FF5">
        <w:tc>
          <w:tcPr>
            <w:tcW w:w="2802" w:type="dxa"/>
          </w:tcPr>
          <w:p w:rsidR="00B70CE9" w:rsidRPr="001E4390" w:rsidRDefault="00B70CE9" w:rsidP="00477FF5">
            <w:pPr>
              <w:rPr>
                <w:rFonts w:cstheme="minorHAnsi"/>
              </w:rPr>
            </w:pPr>
            <w:r w:rsidRPr="001E4390">
              <w:rPr>
                <w:rFonts w:cstheme="minorHAnsi"/>
              </w:rPr>
              <w:t>Číslo povolenia:</w:t>
            </w:r>
          </w:p>
        </w:tc>
        <w:tc>
          <w:tcPr>
            <w:tcW w:w="6410" w:type="dxa"/>
          </w:tcPr>
          <w:p w:rsidR="00B70CE9" w:rsidRDefault="00B70CE9" w:rsidP="00477FF5">
            <w:pPr>
              <w:rPr>
                <w:rFonts w:cstheme="minorHAnsi"/>
                <w:b/>
              </w:rPr>
            </w:pPr>
          </w:p>
        </w:tc>
      </w:tr>
      <w:tr w:rsidR="00B70CE9" w:rsidTr="00477FF5">
        <w:tc>
          <w:tcPr>
            <w:tcW w:w="2802" w:type="dxa"/>
          </w:tcPr>
          <w:p w:rsidR="00B70CE9" w:rsidRPr="001E4390" w:rsidRDefault="00B70CE9" w:rsidP="00477FF5">
            <w:pPr>
              <w:rPr>
                <w:rFonts w:cstheme="minorHAnsi"/>
              </w:rPr>
            </w:pPr>
            <w:r w:rsidRPr="001E4390">
              <w:rPr>
                <w:rFonts w:cstheme="minorHAnsi"/>
              </w:rPr>
              <w:t>Dátum právoplatnosti:</w:t>
            </w:r>
          </w:p>
        </w:tc>
        <w:tc>
          <w:tcPr>
            <w:tcW w:w="6410" w:type="dxa"/>
          </w:tcPr>
          <w:p w:rsidR="00B70CE9" w:rsidRDefault="00B70CE9" w:rsidP="00477FF5">
            <w:pPr>
              <w:rPr>
                <w:rFonts w:cstheme="minorHAnsi"/>
                <w:b/>
              </w:rPr>
            </w:pPr>
          </w:p>
        </w:tc>
      </w:tr>
      <w:tr w:rsidR="00B70CE9" w:rsidTr="00477FF5">
        <w:tc>
          <w:tcPr>
            <w:tcW w:w="2802" w:type="dxa"/>
          </w:tcPr>
          <w:p w:rsidR="00B70CE9" w:rsidRPr="001E4390" w:rsidRDefault="00B70CE9" w:rsidP="00477FF5">
            <w:pPr>
              <w:rPr>
                <w:rFonts w:cstheme="minorHAnsi"/>
              </w:rPr>
            </w:pPr>
            <w:r w:rsidRPr="001E4390">
              <w:rPr>
                <w:rFonts w:cstheme="minorHAnsi"/>
              </w:rPr>
              <w:t>Druh povolenia:</w:t>
            </w:r>
          </w:p>
        </w:tc>
        <w:tc>
          <w:tcPr>
            <w:tcW w:w="6410" w:type="dxa"/>
          </w:tcPr>
          <w:p w:rsidR="00B70CE9" w:rsidRDefault="00B70CE9" w:rsidP="00477FF5">
            <w:pPr>
              <w:rPr>
                <w:rFonts w:cstheme="minorHAnsi"/>
                <w:b/>
              </w:rPr>
            </w:pPr>
          </w:p>
        </w:tc>
      </w:tr>
      <w:tr w:rsidR="00B70CE9" w:rsidTr="00477FF5">
        <w:tc>
          <w:tcPr>
            <w:tcW w:w="2802" w:type="dxa"/>
          </w:tcPr>
          <w:p w:rsidR="00B70CE9" w:rsidRPr="001E4390" w:rsidRDefault="00B70CE9" w:rsidP="00477FF5">
            <w:pPr>
              <w:rPr>
                <w:rFonts w:cstheme="minorHAnsi"/>
              </w:rPr>
            </w:pPr>
            <w:r w:rsidRPr="001E4390">
              <w:rPr>
                <w:rFonts w:cstheme="minorHAnsi"/>
              </w:rPr>
              <w:t>Stavebník:</w:t>
            </w:r>
          </w:p>
        </w:tc>
        <w:tc>
          <w:tcPr>
            <w:tcW w:w="6410" w:type="dxa"/>
          </w:tcPr>
          <w:p w:rsidR="00B70CE9" w:rsidRDefault="00B70CE9" w:rsidP="00477FF5">
            <w:pPr>
              <w:rPr>
                <w:rFonts w:cstheme="minorHAnsi"/>
                <w:b/>
              </w:rPr>
            </w:pPr>
          </w:p>
        </w:tc>
      </w:tr>
    </w:tbl>
    <w:p w:rsidR="00B70CE9" w:rsidRDefault="00B70CE9" w:rsidP="00B70CE9">
      <w:pPr>
        <w:rPr>
          <w:rFonts w:cstheme="minorHAnsi"/>
          <w:b/>
        </w:rPr>
      </w:pPr>
    </w:p>
    <w:p w:rsidR="00B70CE9" w:rsidRDefault="00B70CE9" w:rsidP="00B70CE9">
      <w:pPr>
        <w:rPr>
          <w:b/>
        </w:rPr>
      </w:pPr>
      <w:r w:rsidRPr="001E4390">
        <w:rPr>
          <w:b/>
        </w:rPr>
        <w:t>A. Výmera podlahovej plochy nadzemnej časti stavby v m2 - súhrnná tabuľka</w:t>
      </w:r>
    </w:p>
    <w:tbl>
      <w:tblPr>
        <w:tblStyle w:val="Mriekatabuky"/>
        <w:tblW w:w="0" w:type="auto"/>
        <w:tblLook w:val="04A0"/>
      </w:tblPr>
      <w:tblGrid>
        <w:gridCol w:w="392"/>
        <w:gridCol w:w="5749"/>
        <w:gridCol w:w="3071"/>
      </w:tblGrid>
      <w:tr w:rsidR="00B70CE9" w:rsidTr="00477FF5">
        <w:tc>
          <w:tcPr>
            <w:tcW w:w="392" w:type="dxa"/>
          </w:tcPr>
          <w:p w:rsidR="00B70CE9" w:rsidRDefault="00B70CE9" w:rsidP="00477FF5">
            <w:pPr>
              <w:rPr>
                <w:rFonts w:cstheme="minorHAnsi"/>
                <w:b/>
              </w:rPr>
            </w:pPr>
            <w:r>
              <w:rPr>
                <w:rFonts w:cstheme="minorHAnsi"/>
                <w:b/>
              </w:rPr>
              <w:t>1.</w:t>
            </w:r>
          </w:p>
        </w:tc>
        <w:tc>
          <w:tcPr>
            <w:tcW w:w="5749" w:type="dxa"/>
          </w:tcPr>
          <w:p w:rsidR="00B70CE9" w:rsidRPr="001B008C" w:rsidRDefault="00B70CE9" w:rsidP="00477FF5">
            <w:pPr>
              <w:rPr>
                <w:rFonts w:cstheme="minorHAnsi"/>
              </w:rPr>
            </w:pPr>
            <w:r w:rsidRPr="001B008C">
              <w:rPr>
                <w:rFonts w:cstheme="minorHAnsi"/>
              </w:rPr>
              <w:t xml:space="preserve">a) stavby na bývanie </w:t>
            </w:r>
          </w:p>
        </w:tc>
        <w:tc>
          <w:tcPr>
            <w:tcW w:w="3071" w:type="dxa"/>
          </w:tcPr>
          <w:p w:rsidR="00B70CE9" w:rsidRDefault="00B70CE9" w:rsidP="00477FF5">
            <w:pPr>
              <w:rPr>
                <w:rFonts w:cstheme="minorHAnsi"/>
                <w:b/>
              </w:rPr>
            </w:pPr>
          </w:p>
        </w:tc>
      </w:tr>
      <w:tr w:rsidR="00B70CE9" w:rsidTr="00477FF5">
        <w:tc>
          <w:tcPr>
            <w:tcW w:w="392" w:type="dxa"/>
          </w:tcPr>
          <w:p w:rsidR="00B70CE9" w:rsidRDefault="00B70CE9" w:rsidP="00477FF5">
            <w:pPr>
              <w:rPr>
                <w:rFonts w:cstheme="minorHAnsi"/>
                <w:b/>
              </w:rPr>
            </w:pPr>
            <w:r>
              <w:rPr>
                <w:rFonts w:cstheme="minorHAnsi"/>
                <w:b/>
              </w:rPr>
              <w:t>2.</w:t>
            </w:r>
          </w:p>
        </w:tc>
        <w:tc>
          <w:tcPr>
            <w:tcW w:w="5749" w:type="dxa"/>
          </w:tcPr>
          <w:p w:rsidR="00B70CE9" w:rsidRPr="001B008C" w:rsidRDefault="00B70CE9" w:rsidP="00477FF5">
            <w:pPr>
              <w:shd w:val="clear" w:color="auto" w:fill="FFFFFF"/>
              <w:jc w:val="both"/>
              <w:rPr>
                <w:rFonts w:cstheme="minorHAnsi"/>
                <w:color w:val="000000" w:themeColor="text1"/>
              </w:rPr>
            </w:pPr>
            <w:r w:rsidRPr="001B008C">
              <w:rPr>
                <w:rFonts w:cstheme="minorHAnsi"/>
              </w:rPr>
              <w:t>b)</w:t>
            </w:r>
            <w:r w:rsidRPr="001B008C">
              <w:rPr>
                <w:rFonts w:cstheme="minorHAnsi"/>
                <w:color w:val="000000" w:themeColor="text1"/>
              </w:rPr>
              <w:t xml:space="preserve"> ) stavby na pôdohospodársku produkciu, skleníky, stavby pre vodné hospodárstvo, stavby využívané na skladovanie vlastnej pôdohospodárskej produkcie, vrátane stavieb na vlastnú administratívu</w:t>
            </w:r>
          </w:p>
          <w:p w:rsidR="00B70CE9" w:rsidRPr="001B008C" w:rsidRDefault="00B70CE9" w:rsidP="00477FF5">
            <w:pPr>
              <w:rPr>
                <w:rFonts w:cstheme="minorHAnsi"/>
              </w:rPr>
            </w:pPr>
          </w:p>
        </w:tc>
        <w:tc>
          <w:tcPr>
            <w:tcW w:w="3071" w:type="dxa"/>
          </w:tcPr>
          <w:p w:rsidR="00B70CE9" w:rsidRDefault="00B70CE9" w:rsidP="00477FF5">
            <w:pPr>
              <w:rPr>
                <w:rFonts w:cstheme="minorHAnsi"/>
                <w:b/>
              </w:rPr>
            </w:pPr>
          </w:p>
        </w:tc>
      </w:tr>
      <w:tr w:rsidR="00B70CE9" w:rsidTr="00477FF5">
        <w:trPr>
          <w:trHeight w:val="457"/>
        </w:trPr>
        <w:tc>
          <w:tcPr>
            <w:tcW w:w="392" w:type="dxa"/>
          </w:tcPr>
          <w:p w:rsidR="00B70CE9" w:rsidRDefault="00B70CE9" w:rsidP="00477FF5">
            <w:pPr>
              <w:rPr>
                <w:rFonts w:cstheme="minorHAnsi"/>
                <w:b/>
              </w:rPr>
            </w:pPr>
            <w:r>
              <w:rPr>
                <w:rFonts w:cstheme="minorHAnsi"/>
                <w:b/>
              </w:rPr>
              <w:t>3.</w:t>
            </w:r>
          </w:p>
        </w:tc>
        <w:tc>
          <w:tcPr>
            <w:tcW w:w="5749" w:type="dxa"/>
          </w:tcPr>
          <w:p w:rsidR="00B70CE9" w:rsidRPr="001B008C" w:rsidRDefault="00B70CE9" w:rsidP="00477FF5">
            <w:pPr>
              <w:shd w:val="clear" w:color="auto" w:fill="FFFFFF"/>
              <w:jc w:val="both"/>
              <w:rPr>
                <w:rFonts w:cstheme="minorHAnsi"/>
                <w:color w:val="000000" w:themeColor="text1"/>
              </w:rPr>
            </w:pPr>
            <w:r w:rsidRPr="001B008C">
              <w:rPr>
                <w:rFonts w:cstheme="minorHAnsi"/>
              </w:rPr>
              <w:t>c)</w:t>
            </w:r>
            <w:r w:rsidRPr="001B008C">
              <w:rPr>
                <w:rFonts w:cstheme="minorHAnsi"/>
                <w:color w:val="000000" w:themeColor="text1"/>
              </w:rPr>
              <w:t xml:space="preserve"> priemyselné stavby a stavby využívané na skladovanie, vrátanie stavieb na vlastnú administratívu</w:t>
            </w:r>
          </w:p>
          <w:p w:rsidR="00B70CE9" w:rsidRPr="001B008C" w:rsidRDefault="00B70CE9" w:rsidP="00477FF5">
            <w:pPr>
              <w:rPr>
                <w:rFonts w:cstheme="minorHAnsi"/>
              </w:rPr>
            </w:pPr>
          </w:p>
        </w:tc>
        <w:tc>
          <w:tcPr>
            <w:tcW w:w="3071" w:type="dxa"/>
          </w:tcPr>
          <w:p w:rsidR="00B70CE9" w:rsidRDefault="00B70CE9" w:rsidP="00477FF5">
            <w:pPr>
              <w:rPr>
                <w:rFonts w:cstheme="minorHAnsi"/>
                <w:b/>
              </w:rPr>
            </w:pPr>
          </w:p>
        </w:tc>
      </w:tr>
      <w:tr w:rsidR="00B70CE9" w:rsidTr="00477FF5">
        <w:tc>
          <w:tcPr>
            <w:tcW w:w="392" w:type="dxa"/>
          </w:tcPr>
          <w:p w:rsidR="00B70CE9" w:rsidRDefault="00B70CE9" w:rsidP="00477FF5">
            <w:pPr>
              <w:rPr>
                <w:rFonts w:cstheme="minorHAnsi"/>
                <w:b/>
              </w:rPr>
            </w:pPr>
            <w:r>
              <w:rPr>
                <w:rFonts w:cstheme="minorHAnsi"/>
                <w:b/>
              </w:rPr>
              <w:t>4.</w:t>
            </w:r>
          </w:p>
        </w:tc>
        <w:tc>
          <w:tcPr>
            <w:tcW w:w="5749" w:type="dxa"/>
          </w:tcPr>
          <w:p w:rsidR="00B70CE9" w:rsidRPr="001B008C" w:rsidRDefault="00B70CE9" w:rsidP="00477FF5">
            <w:pPr>
              <w:rPr>
                <w:rFonts w:cstheme="minorHAnsi"/>
              </w:rPr>
            </w:pPr>
            <w:r w:rsidRPr="001B008C">
              <w:rPr>
                <w:rFonts w:cstheme="minorHAnsi"/>
              </w:rPr>
              <w:t>d)</w:t>
            </w:r>
            <w:r w:rsidRPr="001B008C">
              <w:t xml:space="preserve"> ) stavby na ostatné podnikanie a na zárobkovú činnosť, stavby využívané na skladovanie a administratívu súvisiacu s ostatným podnikaním a so zárobkovou činnosťou</w:t>
            </w:r>
          </w:p>
        </w:tc>
        <w:tc>
          <w:tcPr>
            <w:tcW w:w="3071" w:type="dxa"/>
          </w:tcPr>
          <w:p w:rsidR="00B70CE9" w:rsidRDefault="00B70CE9" w:rsidP="00477FF5">
            <w:pPr>
              <w:rPr>
                <w:rFonts w:cstheme="minorHAnsi"/>
                <w:b/>
              </w:rPr>
            </w:pPr>
          </w:p>
        </w:tc>
      </w:tr>
      <w:tr w:rsidR="00B70CE9" w:rsidTr="00477FF5">
        <w:tc>
          <w:tcPr>
            <w:tcW w:w="392" w:type="dxa"/>
          </w:tcPr>
          <w:p w:rsidR="00B70CE9" w:rsidRDefault="00B70CE9" w:rsidP="00477FF5">
            <w:pPr>
              <w:rPr>
                <w:rFonts w:cstheme="minorHAnsi"/>
                <w:b/>
              </w:rPr>
            </w:pPr>
            <w:r>
              <w:rPr>
                <w:rFonts w:cstheme="minorHAnsi"/>
                <w:b/>
              </w:rPr>
              <w:t>5.</w:t>
            </w:r>
          </w:p>
        </w:tc>
        <w:tc>
          <w:tcPr>
            <w:tcW w:w="5749" w:type="dxa"/>
          </w:tcPr>
          <w:p w:rsidR="00B70CE9" w:rsidRPr="001B008C" w:rsidRDefault="00B70CE9" w:rsidP="00477FF5">
            <w:pPr>
              <w:rPr>
                <w:rFonts w:cstheme="minorHAnsi"/>
              </w:rPr>
            </w:pPr>
            <w:r w:rsidRPr="001B008C">
              <w:t>ostatné stavby</w:t>
            </w:r>
          </w:p>
        </w:tc>
        <w:tc>
          <w:tcPr>
            <w:tcW w:w="3071" w:type="dxa"/>
          </w:tcPr>
          <w:p w:rsidR="00B70CE9" w:rsidRDefault="00B70CE9" w:rsidP="00477FF5">
            <w:pPr>
              <w:rPr>
                <w:rFonts w:cstheme="minorHAnsi"/>
                <w:b/>
              </w:rPr>
            </w:pPr>
          </w:p>
        </w:tc>
      </w:tr>
      <w:tr w:rsidR="00B70CE9" w:rsidTr="00477FF5">
        <w:tc>
          <w:tcPr>
            <w:tcW w:w="392" w:type="dxa"/>
          </w:tcPr>
          <w:p w:rsidR="00B70CE9" w:rsidRDefault="00B70CE9" w:rsidP="00477FF5">
            <w:pPr>
              <w:rPr>
                <w:rFonts w:cstheme="minorHAnsi"/>
                <w:b/>
              </w:rPr>
            </w:pPr>
            <w:r>
              <w:rPr>
                <w:rFonts w:cstheme="minorHAnsi"/>
                <w:b/>
              </w:rPr>
              <w:t>6.</w:t>
            </w:r>
          </w:p>
        </w:tc>
        <w:tc>
          <w:tcPr>
            <w:tcW w:w="5749" w:type="dxa"/>
          </w:tcPr>
          <w:p w:rsidR="00B70CE9" w:rsidRDefault="00B70CE9" w:rsidP="00477FF5">
            <w:pPr>
              <w:rPr>
                <w:rFonts w:cstheme="minorHAnsi"/>
                <w:b/>
              </w:rPr>
            </w:pPr>
            <w:r>
              <w:t>stavby oslobodené podľa § 3 ods. 3 písm. c)</w:t>
            </w:r>
          </w:p>
        </w:tc>
        <w:tc>
          <w:tcPr>
            <w:tcW w:w="3071" w:type="dxa"/>
          </w:tcPr>
          <w:p w:rsidR="00B70CE9" w:rsidRDefault="00B70CE9" w:rsidP="00477FF5">
            <w:pPr>
              <w:rPr>
                <w:rFonts w:cstheme="minorHAnsi"/>
                <w:b/>
              </w:rPr>
            </w:pPr>
          </w:p>
        </w:tc>
      </w:tr>
    </w:tbl>
    <w:p w:rsidR="00B70CE9" w:rsidRDefault="00B70CE9" w:rsidP="00B70CE9">
      <w:pPr>
        <w:rPr>
          <w:rFonts w:cstheme="minorHAnsi"/>
          <w:b/>
        </w:rPr>
      </w:pPr>
    </w:p>
    <w:p w:rsidR="00B70CE9" w:rsidRDefault="00B70CE9" w:rsidP="00B70CE9">
      <w:pPr>
        <w:rPr>
          <w:b/>
        </w:rPr>
      </w:pPr>
      <w:r w:rsidRPr="001B008C">
        <w:rPr>
          <w:b/>
        </w:rPr>
        <w:t>B. Výmera podlahovej plochy nadzemnej časti stavby v m2 - podrobná tabuľka</w:t>
      </w:r>
    </w:p>
    <w:tbl>
      <w:tblPr>
        <w:tblStyle w:val="Mriekatabuky"/>
        <w:tblW w:w="11765" w:type="dxa"/>
        <w:tblInd w:w="-176" w:type="dxa"/>
        <w:tblLayout w:type="fixed"/>
        <w:tblLook w:val="04A0"/>
      </w:tblPr>
      <w:tblGrid>
        <w:gridCol w:w="1277"/>
        <w:gridCol w:w="1275"/>
        <w:gridCol w:w="1134"/>
        <w:gridCol w:w="1756"/>
        <w:gridCol w:w="1552"/>
        <w:gridCol w:w="1552"/>
        <w:gridCol w:w="912"/>
        <w:gridCol w:w="1289"/>
        <w:gridCol w:w="1018"/>
      </w:tblGrid>
      <w:tr w:rsidR="00B70CE9" w:rsidTr="00477FF5">
        <w:trPr>
          <w:trHeight w:val="1071"/>
        </w:trPr>
        <w:tc>
          <w:tcPr>
            <w:tcW w:w="11765" w:type="dxa"/>
            <w:gridSpan w:val="9"/>
          </w:tcPr>
          <w:p w:rsidR="00B70CE9" w:rsidRPr="001B008C" w:rsidRDefault="00B70CE9" w:rsidP="00477FF5">
            <w:pPr>
              <w:rPr>
                <w:rFonts w:cstheme="minorHAnsi"/>
              </w:rPr>
            </w:pPr>
            <w:r w:rsidRPr="001B008C">
              <w:rPr>
                <w:rFonts w:cstheme="minorHAnsi"/>
              </w:rPr>
              <w:t xml:space="preserve">     Stavby v členení podľa § 7 ods.2 písm</w:t>
            </w:r>
            <w:r>
              <w:rPr>
                <w:rFonts w:cstheme="minorHAnsi"/>
              </w:rPr>
              <w:t>.</w:t>
            </w:r>
          </w:p>
        </w:tc>
      </w:tr>
      <w:tr w:rsidR="00B70CE9" w:rsidTr="00477FF5">
        <w:trPr>
          <w:trHeight w:val="1071"/>
        </w:trPr>
        <w:tc>
          <w:tcPr>
            <w:tcW w:w="1277" w:type="dxa"/>
          </w:tcPr>
          <w:p w:rsidR="00B70CE9" w:rsidRPr="007C5440" w:rsidRDefault="00B70CE9" w:rsidP="00477FF5">
            <w:pPr>
              <w:rPr>
                <w:rFonts w:cstheme="minorHAnsi"/>
                <w:b/>
                <w:sz w:val="20"/>
                <w:szCs w:val="20"/>
              </w:rPr>
            </w:pPr>
            <w:r w:rsidRPr="007C5440">
              <w:rPr>
                <w:rFonts w:cstheme="minorHAnsi"/>
                <w:b/>
                <w:sz w:val="20"/>
                <w:szCs w:val="20"/>
              </w:rPr>
              <w:t xml:space="preserve">Číslo miestnosti </w:t>
            </w:r>
          </w:p>
        </w:tc>
        <w:tc>
          <w:tcPr>
            <w:tcW w:w="1275" w:type="dxa"/>
          </w:tcPr>
          <w:p w:rsidR="00B70CE9" w:rsidRPr="007C5440" w:rsidRDefault="00B70CE9" w:rsidP="00477FF5">
            <w:pPr>
              <w:rPr>
                <w:rFonts w:cstheme="minorHAnsi"/>
                <w:b/>
                <w:sz w:val="20"/>
                <w:szCs w:val="20"/>
              </w:rPr>
            </w:pPr>
            <w:r w:rsidRPr="007C5440">
              <w:rPr>
                <w:rFonts w:cstheme="minorHAnsi"/>
                <w:b/>
                <w:sz w:val="20"/>
                <w:szCs w:val="20"/>
              </w:rPr>
              <w:t xml:space="preserve">Označenie miestnosti </w:t>
            </w:r>
          </w:p>
        </w:tc>
        <w:tc>
          <w:tcPr>
            <w:tcW w:w="1134" w:type="dxa"/>
          </w:tcPr>
          <w:p w:rsidR="00B70CE9" w:rsidRPr="007C5440" w:rsidRDefault="00B70CE9" w:rsidP="00477FF5">
            <w:pPr>
              <w:rPr>
                <w:rFonts w:cstheme="minorHAnsi"/>
                <w:b/>
                <w:sz w:val="20"/>
                <w:szCs w:val="20"/>
              </w:rPr>
            </w:pPr>
            <w:r w:rsidRPr="007C5440">
              <w:rPr>
                <w:rFonts w:cstheme="minorHAnsi"/>
                <w:b/>
                <w:sz w:val="20"/>
                <w:szCs w:val="20"/>
              </w:rPr>
              <w:t xml:space="preserve">a)stavby </w:t>
            </w:r>
          </w:p>
          <w:p w:rsidR="00B70CE9" w:rsidRPr="007C5440" w:rsidRDefault="00B70CE9" w:rsidP="00477FF5">
            <w:pPr>
              <w:rPr>
                <w:rFonts w:cstheme="minorHAnsi"/>
                <w:b/>
                <w:sz w:val="20"/>
                <w:szCs w:val="20"/>
              </w:rPr>
            </w:pPr>
            <w:r w:rsidRPr="007C5440">
              <w:rPr>
                <w:rFonts w:cstheme="minorHAnsi"/>
                <w:b/>
                <w:sz w:val="20"/>
                <w:szCs w:val="20"/>
              </w:rPr>
              <w:t xml:space="preserve">na bývanie </w:t>
            </w:r>
          </w:p>
        </w:tc>
        <w:tc>
          <w:tcPr>
            <w:tcW w:w="1756" w:type="dxa"/>
          </w:tcPr>
          <w:p w:rsidR="00B70CE9" w:rsidRPr="007C5440" w:rsidRDefault="00B70CE9" w:rsidP="00477FF5">
            <w:pPr>
              <w:shd w:val="clear" w:color="auto" w:fill="FFFFFF"/>
              <w:jc w:val="both"/>
              <w:rPr>
                <w:rFonts w:cstheme="minorHAnsi"/>
                <w:b/>
                <w:color w:val="000000" w:themeColor="text1"/>
                <w:sz w:val="20"/>
                <w:szCs w:val="20"/>
              </w:rPr>
            </w:pPr>
            <w:r w:rsidRPr="007C5440">
              <w:rPr>
                <w:rFonts w:cstheme="minorHAnsi"/>
                <w:b/>
                <w:sz w:val="20"/>
                <w:szCs w:val="20"/>
              </w:rPr>
              <w:t>b)</w:t>
            </w:r>
            <w:r w:rsidRPr="007C5440">
              <w:rPr>
                <w:rFonts w:cstheme="minorHAnsi"/>
                <w:b/>
                <w:color w:val="000000" w:themeColor="text1"/>
                <w:sz w:val="20"/>
                <w:szCs w:val="20"/>
              </w:rPr>
              <w:t xml:space="preserve"> administratívu</w:t>
            </w:r>
          </w:p>
          <w:p w:rsidR="00B70CE9" w:rsidRPr="007C5440" w:rsidRDefault="00B70CE9" w:rsidP="00477FF5">
            <w:pPr>
              <w:rPr>
                <w:rFonts w:cstheme="minorHAnsi"/>
                <w:b/>
                <w:sz w:val="20"/>
                <w:szCs w:val="20"/>
              </w:rPr>
            </w:pPr>
          </w:p>
        </w:tc>
        <w:tc>
          <w:tcPr>
            <w:tcW w:w="1552" w:type="dxa"/>
          </w:tcPr>
          <w:p w:rsidR="00B70CE9" w:rsidRPr="007C5440" w:rsidRDefault="00B70CE9" w:rsidP="00477FF5">
            <w:pPr>
              <w:shd w:val="clear" w:color="auto" w:fill="FFFFFF"/>
              <w:jc w:val="both"/>
              <w:rPr>
                <w:rFonts w:cstheme="minorHAnsi"/>
                <w:color w:val="000000" w:themeColor="text1"/>
                <w:sz w:val="20"/>
                <w:szCs w:val="20"/>
              </w:rPr>
            </w:pPr>
            <w:r w:rsidRPr="007C5440">
              <w:rPr>
                <w:rFonts w:cstheme="minorHAnsi"/>
                <w:b/>
                <w:sz w:val="20"/>
                <w:szCs w:val="20"/>
              </w:rPr>
              <w:t>c)</w:t>
            </w:r>
            <w:r w:rsidRPr="007C5440">
              <w:rPr>
                <w:rFonts w:cstheme="minorHAnsi"/>
                <w:b/>
                <w:color w:val="000000" w:themeColor="text1"/>
                <w:sz w:val="20"/>
                <w:szCs w:val="20"/>
              </w:rPr>
              <w:t>priemyselné stavby a stavby využívané na s</w:t>
            </w:r>
            <w:r>
              <w:rPr>
                <w:rFonts w:cstheme="minorHAnsi"/>
                <w:b/>
                <w:color w:val="000000" w:themeColor="text1"/>
                <w:sz w:val="20"/>
                <w:szCs w:val="20"/>
              </w:rPr>
              <w:t xml:space="preserve">kladovanie, vrátanie stavieb na </w:t>
            </w:r>
            <w:r w:rsidRPr="007C5440">
              <w:rPr>
                <w:rFonts w:cstheme="minorHAnsi"/>
                <w:b/>
                <w:color w:val="000000" w:themeColor="text1"/>
                <w:sz w:val="20"/>
                <w:szCs w:val="20"/>
              </w:rPr>
              <w:t>vlastnú administratívu</w:t>
            </w:r>
          </w:p>
          <w:p w:rsidR="00B70CE9" w:rsidRPr="007C5440" w:rsidRDefault="00B70CE9" w:rsidP="00477FF5">
            <w:pPr>
              <w:rPr>
                <w:rFonts w:cstheme="minorHAnsi"/>
                <w:b/>
                <w:sz w:val="20"/>
                <w:szCs w:val="20"/>
              </w:rPr>
            </w:pPr>
          </w:p>
        </w:tc>
        <w:tc>
          <w:tcPr>
            <w:tcW w:w="1552" w:type="dxa"/>
          </w:tcPr>
          <w:p w:rsidR="00B70CE9" w:rsidRPr="007C5440" w:rsidRDefault="00B70CE9" w:rsidP="00477FF5">
            <w:pPr>
              <w:rPr>
                <w:rFonts w:cstheme="minorHAnsi"/>
                <w:b/>
                <w:sz w:val="20"/>
                <w:szCs w:val="20"/>
              </w:rPr>
            </w:pPr>
            <w:r w:rsidRPr="007C5440">
              <w:rPr>
                <w:rFonts w:cstheme="minorHAnsi"/>
                <w:b/>
                <w:sz w:val="20"/>
                <w:szCs w:val="20"/>
              </w:rPr>
              <w:t>d)</w:t>
            </w:r>
            <w:r w:rsidRPr="007C5440">
              <w:rPr>
                <w:sz w:val="20"/>
                <w:szCs w:val="20"/>
              </w:rPr>
              <w:t xml:space="preserve"> ) </w:t>
            </w:r>
            <w:r w:rsidRPr="007C5440">
              <w:rPr>
                <w:b/>
                <w:sz w:val="20"/>
                <w:szCs w:val="20"/>
              </w:rPr>
              <w:t>stavby na ostatné podnikanie a na zárobkovú činnosť,stavby využívané na skladovanie a administratívu súvisiacu s ostatným podnikaním a so zárobkovou činnosťou</w:t>
            </w:r>
          </w:p>
        </w:tc>
        <w:tc>
          <w:tcPr>
            <w:tcW w:w="912" w:type="dxa"/>
          </w:tcPr>
          <w:p w:rsidR="00B70CE9" w:rsidRPr="007C5440" w:rsidRDefault="00B70CE9" w:rsidP="00477FF5">
            <w:pPr>
              <w:rPr>
                <w:rFonts w:cstheme="minorHAnsi"/>
                <w:b/>
                <w:sz w:val="20"/>
                <w:szCs w:val="20"/>
              </w:rPr>
            </w:pPr>
            <w:r w:rsidRPr="007C5440">
              <w:rPr>
                <w:rFonts w:cstheme="minorHAnsi"/>
                <w:b/>
                <w:sz w:val="20"/>
                <w:szCs w:val="20"/>
              </w:rPr>
              <w:t>e)</w:t>
            </w:r>
          </w:p>
          <w:p w:rsidR="00B70CE9" w:rsidRPr="007C5440" w:rsidRDefault="00B70CE9" w:rsidP="00477FF5">
            <w:pPr>
              <w:rPr>
                <w:rFonts w:cstheme="minorHAnsi"/>
                <w:b/>
                <w:sz w:val="20"/>
                <w:szCs w:val="20"/>
              </w:rPr>
            </w:pPr>
            <w:r w:rsidRPr="007C5440">
              <w:rPr>
                <w:b/>
                <w:sz w:val="20"/>
                <w:szCs w:val="20"/>
              </w:rPr>
              <w:t>ostatné stavby</w:t>
            </w:r>
          </w:p>
        </w:tc>
        <w:tc>
          <w:tcPr>
            <w:tcW w:w="1289" w:type="dxa"/>
          </w:tcPr>
          <w:p w:rsidR="00B70CE9" w:rsidRPr="007C5440" w:rsidRDefault="00B70CE9" w:rsidP="00477FF5">
            <w:pPr>
              <w:rPr>
                <w:rFonts w:cstheme="minorHAnsi"/>
                <w:b/>
                <w:sz w:val="20"/>
                <w:szCs w:val="20"/>
              </w:rPr>
            </w:pPr>
            <w:r w:rsidRPr="007C5440">
              <w:rPr>
                <w:rFonts w:cstheme="minorHAnsi"/>
                <w:b/>
                <w:sz w:val="20"/>
                <w:szCs w:val="20"/>
              </w:rPr>
              <w:t>Stavby oslobodené podľa §3 ods.3 písm. c)</w:t>
            </w:r>
          </w:p>
        </w:tc>
        <w:tc>
          <w:tcPr>
            <w:tcW w:w="1018" w:type="dxa"/>
          </w:tcPr>
          <w:p w:rsidR="00B70CE9" w:rsidRPr="007C5440" w:rsidRDefault="00B70CE9" w:rsidP="00477FF5">
            <w:pPr>
              <w:rPr>
                <w:rFonts w:cstheme="minorHAnsi"/>
                <w:b/>
                <w:sz w:val="20"/>
                <w:szCs w:val="20"/>
              </w:rPr>
            </w:pPr>
            <w:r w:rsidRPr="007C5440">
              <w:rPr>
                <w:rFonts w:cstheme="minorHAnsi"/>
                <w:b/>
                <w:sz w:val="20"/>
                <w:szCs w:val="20"/>
              </w:rPr>
              <w:t>Nie je mistnosť</w:t>
            </w:r>
          </w:p>
        </w:tc>
      </w:tr>
      <w:tr w:rsidR="00B70CE9" w:rsidTr="00477FF5">
        <w:trPr>
          <w:trHeight w:val="1071"/>
        </w:trPr>
        <w:tc>
          <w:tcPr>
            <w:tcW w:w="1277" w:type="dxa"/>
          </w:tcPr>
          <w:p w:rsidR="00B70CE9" w:rsidRDefault="00B70CE9" w:rsidP="00477FF5">
            <w:pPr>
              <w:rPr>
                <w:rFonts w:cstheme="minorHAnsi"/>
                <w:b/>
              </w:rPr>
            </w:pPr>
          </w:p>
        </w:tc>
        <w:tc>
          <w:tcPr>
            <w:tcW w:w="1275" w:type="dxa"/>
          </w:tcPr>
          <w:p w:rsidR="00B70CE9" w:rsidRDefault="00B70CE9" w:rsidP="00477FF5">
            <w:pPr>
              <w:rPr>
                <w:rFonts w:cstheme="minorHAnsi"/>
                <w:b/>
              </w:rPr>
            </w:pPr>
          </w:p>
        </w:tc>
        <w:tc>
          <w:tcPr>
            <w:tcW w:w="1134" w:type="dxa"/>
          </w:tcPr>
          <w:p w:rsidR="00B70CE9" w:rsidRDefault="00B70CE9" w:rsidP="00477FF5">
            <w:pPr>
              <w:rPr>
                <w:rFonts w:cstheme="minorHAnsi"/>
                <w:b/>
              </w:rPr>
            </w:pPr>
          </w:p>
        </w:tc>
        <w:tc>
          <w:tcPr>
            <w:tcW w:w="1756" w:type="dxa"/>
          </w:tcPr>
          <w:p w:rsidR="00B70CE9" w:rsidRDefault="00B70CE9" w:rsidP="00477FF5">
            <w:pPr>
              <w:shd w:val="clear" w:color="auto" w:fill="FFFFFF"/>
              <w:jc w:val="both"/>
              <w:rPr>
                <w:rFonts w:cstheme="minorHAnsi"/>
                <w:b/>
              </w:rPr>
            </w:pPr>
          </w:p>
        </w:tc>
        <w:tc>
          <w:tcPr>
            <w:tcW w:w="1552" w:type="dxa"/>
          </w:tcPr>
          <w:p w:rsidR="00B70CE9" w:rsidRDefault="00B70CE9" w:rsidP="00477FF5">
            <w:pPr>
              <w:shd w:val="clear" w:color="auto" w:fill="FFFFFF"/>
              <w:jc w:val="both"/>
              <w:rPr>
                <w:rFonts w:cstheme="minorHAnsi"/>
                <w:b/>
              </w:rPr>
            </w:pPr>
          </w:p>
        </w:tc>
        <w:tc>
          <w:tcPr>
            <w:tcW w:w="1552" w:type="dxa"/>
          </w:tcPr>
          <w:p w:rsidR="00B70CE9" w:rsidRDefault="00B70CE9" w:rsidP="00477FF5">
            <w:pPr>
              <w:rPr>
                <w:rFonts w:cstheme="minorHAnsi"/>
                <w:b/>
              </w:rPr>
            </w:pPr>
          </w:p>
        </w:tc>
        <w:tc>
          <w:tcPr>
            <w:tcW w:w="912" w:type="dxa"/>
          </w:tcPr>
          <w:p w:rsidR="00B70CE9" w:rsidRPr="0065669E" w:rsidRDefault="00B70CE9" w:rsidP="00477FF5">
            <w:pPr>
              <w:rPr>
                <w:rFonts w:cstheme="minorHAnsi"/>
                <w:b/>
              </w:rPr>
            </w:pPr>
          </w:p>
        </w:tc>
        <w:tc>
          <w:tcPr>
            <w:tcW w:w="1289" w:type="dxa"/>
          </w:tcPr>
          <w:p w:rsidR="00B70CE9" w:rsidRDefault="00B70CE9" w:rsidP="00477FF5">
            <w:pPr>
              <w:rPr>
                <w:rFonts w:cstheme="minorHAnsi"/>
                <w:b/>
              </w:rPr>
            </w:pPr>
          </w:p>
        </w:tc>
        <w:tc>
          <w:tcPr>
            <w:tcW w:w="1018" w:type="dxa"/>
          </w:tcPr>
          <w:p w:rsidR="00B70CE9" w:rsidRDefault="00B70CE9" w:rsidP="00477FF5">
            <w:pPr>
              <w:rPr>
                <w:rFonts w:cstheme="minorHAnsi"/>
                <w:b/>
              </w:rPr>
            </w:pPr>
          </w:p>
        </w:tc>
      </w:tr>
      <w:tr w:rsidR="00B70CE9" w:rsidTr="00477FF5">
        <w:tc>
          <w:tcPr>
            <w:tcW w:w="1277" w:type="dxa"/>
          </w:tcPr>
          <w:p w:rsidR="00B70CE9" w:rsidRDefault="00B70CE9" w:rsidP="00477FF5">
            <w:pPr>
              <w:rPr>
                <w:rFonts w:cstheme="minorHAnsi"/>
                <w:b/>
              </w:rPr>
            </w:pPr>
          </w:p>
        </w:tc>
        <w:tc>
          <w:tcPr>
            <w:tcW w:w="1275" w:type="dxa"/>
          </w:tcPr>
          <w:p w:rsidR="00B70CE9" w:rsidRDefault="00B70CE9" w:rsidP="00477FF5">
            <w:pPr>
              <w:rPr>
                <w:rFonts w:cstheme="minorHAnsi"/>
                <w:b/>
              </w:rPr>
            </w:pPr>
          </w:p>
        </w:tc>
        <w:tc>
          <w:tcPr>
            <w:tcW w:w="1134" w:type="dxa"/>
          </w:tcPr>
          <w:p w:rsidR="00B70CE9" w:rsidRDefault="00B70CE9" w:rsidP="00477FF5">
            <w:pPr>
              <w:rPr>
                <w:rFonts w:cstheme="minorHAnsi"/>
                <w:b/>
              </w:rPr>
            </w:pPr>
          </w:p>
        </w:tc>
        <w:tc>
          <w:tcPr>
            <w:tcW w:w="1756" w:type="dxa"/>
          </w:tcPr>
          <w:p w:rsidR="00B70CE9" w:rsidRDefault="00B70CE9" w:rsidP="00477FF5">
            <w:pPr>
              <w:rPr>
                <w:rFonts w:cstheme="minorHAnsi"/>
                <w:b/>
              </w:rPr>
            </w:pPr>
          </w:p>
        </w:tc>
        <w:tc>
          <w:tcPr>
            <w:tcW w:w="1552" w:type="dxa"/>
          </w:tcPr>
          <w:p w:rsidR="00B70CE9" w:rsidRDefault="00B70CE9" w:rsidP="00477FF5">
            <w:pPr>
              <w:rPr>
                <w:rFonts w:cstheme="minorHAnsi"/>
                <w:b/>
              </w:rPr>
            </w:pPr>
          </w:p>
        </w:tc>
        <w:tc>
          <w:tcPr>
            <w:tcW w:w="1552" w:type="dxa"/>
          </w:tcPr>
          <w:p w:rsidR="00B70CE9" w:rsidRDefault="00B70CE9" w:rsidP="00477FF5">
            <w:pPr>
              <w:rPr>
                <w:rFonts w:cstheme="minorHAnsi"/>
                <w:b/>
              </w:rPr>
            </w:pPr>
          </w:p>
        </w:tc>
        <w:tc>
          <w:tcPr>
            <w:tcW w:w="912" w:type="dxa"/>
          </w:tcPr>
          <w:p w:rsidR="00B70CE9" w:rsidRDefault="00B70CE9" w:rsidP="00477FF5">
            <w:pPr>
              <w:rPr>
                <w:rFonts w:cstheme="minorHAnsi"/>
                <w:b/>
              </w:rPr>
            </w:pPr>
          </w:p>
        </w:tc>
        <w:tc>
          <w:tcPr>
            <w:tcW w:w="1289" w:type="dxa"/>
          </w:tcPr>
          <w:p w:rsidR="00B70CE9" w:rsidRDefault="00B70CE9" w:rsidP="00477FF5">
            <w:pPr>
              <w:rPr>
                <w:rFonts w:cstheme="minorHAnsi"/>
                <w:b/>
              </w:rPr>
            </w:pPr>
          </w:p>
        </w:tc>
        <w:tc>
          <w:tcPr>
            <w:tcW w:w="1018" w:type="dxa"/>
          </w:tcPr>
          <w:p w:rsidR="00B70CE9" w:rsidRDefault="00B70CE9" w:rsidP="00477FF5">
            <w:pPr>
              <w:rPr>
                <w:rFonts w:cstheme="minorHAnsi"/>
                <w:b/>
              </w:rPr>
            </w:pPr>
          </w:p>
        </w:tc>
      </w:tr>
      <w:tr w:rsidR="00B70CE9" w:rsidTr="00477FF5">
        <w:tc>
          <w:tcPr>
            <w:tcW w:w="1277" w:type="dxa"/>
          </w:tcPr>
          <w:p w:rsidR="00B70CE9" w:rsidRDefault="00B70CE9" w:rsidP="00477FF5">
            <w:pPr>
              <w:rPr>
                <w:rFonts w:cstheme="minorHAnsi"/>
                <w:b/>
              </w:rPr>
            </w:pPr>
          </w:p>
        </w:tc>
        <w:tc>
          <w:tcPr>
            <w:tcW w:w="1275" w:type="dxa"/>
          </w:tcPr>
          <w:p w:rsidR="00B70CE9" w:rsidRDefault="00B70CE9" w:rsidP="00477FF5">
            <w:pPr>
              <w:rPr>
                <w:rFonts w:cstheme="minorHAnsi"/>
                <w:b/>
              </w:rPr>
            </w:pPr>
          </w:p>
        </w:tc>
        <w:tc>
          <w:tcPr>
            <w:tcW w:w="1134" w:type="dxa"/>
          </w:tcPr>
          <w:p w:rsidR="00B70CE9" w:rsidRDefault="00B70CE9" w:rsidP="00477FF5">
            <w:pPr>
              <w:rPr>
                <w:rFonts w:cstheme="minorHAnsi"/>
                <w:b/>
              </w:rPr>
            </w:pPr>
          </w:p>
        </w:tc>
        <w:tc>
          <w:tcPr>
            <w:tcW w:w="1756" w:type="dxa"/>
          </w:tcPr>
          <w:p w:rsidR="00B70CE9" w:rsidRDefault="00B70CE9" w:rsidP="00477FF5">
            <w:pPr>
              <w:rPr>
                <w:rFonts w:cstheme="minorHAnsi"/>
                <w:b/>
              </w:rPr>
            </w:pPr>
          </w:p>
        </w:tc>
        <w:tc>
          <w:tcPr>
            <w:tcW w:w="1552" w:type="dxa"/>
          </w:tcPr>
          <w:p w:rsidR="00B70CE9" w:rsidRDefault="00B70CE9" w:rsidP="00477FF5">
            <w:pPr>
              <w:rPr>
                <w:rFonts w:cstheme="minorHAnsi"/>
                <w:b/>
              </w:rPr>
            </w:pPr>
          </w:p>
        </w:tc>
        <w:tc>
          <w:tcPr>
            <w:tcW w:w="1552" w:type="dxa"/>
          </w:tcPr>
          <w:p w:rsidR="00B70CE9" w:rsidRDefault="00B70CE9" w:rsidP="00477FF5">
            <w:pPr>
              <w:rPr>
                <w:rFonts w:cstheme="minorHAnsi"/>
                <w:b/>
              </w:rPr>
            </w:pPr>
          </w:p>
        </w:tc>
        <w:tc>
          <w:tcPr>
            <w:tcW w:w="912" w:type="dxa"/>
          </w:tcPr>
          <w:p w:rsidR="00B70CE9" w:rsidRDefault="00B70CE9" w:rsidP="00477FF5">
            <w:pPr>
              <w:rPr>
                <w:rFonts w:cstheme="minorHAnsi"/>
                <w:b/>
              </w:rPr>
            </w:pPr>
          </w:p>
        </w:tc>
        <w:tc>
          <w:tcPr>
            <w:tcW w:w="1289" w:type="dxa"/>
          </w:tcPr>
          <w:p w:rsidR="00B70CE9" w:rsidRDefault="00B70CE9" w:rsidP="00477FF5">
            <w:pPr>
              <w:rPr>
                <w:rFonts w:cstheme="minorHAnsi"/>
                <w:b/>
              </w:rPr>
            </w:pPr>
          </w:p>
        </w:tc>
        <w:tc>
          <w:tcPr>
            <w:tcW w:w="1018" w:type="dxa"/>
          </w:tcPr>
          <w:p w:rsidR="00B70CE9" w:rsidRDefault="00B70CE9" w:rsidP="00477FF5">
            <w:pPr>
              <w:rPr>
                <w:rFonts w:cstheme="minorHAnsi"/>
                <w:b/>
              </w:rPr>
            </w:pPr>
          </w:p>
        </w:tc>
      </w:tr>
      <w:tr w:rsidR="00B70CE9" w:rsidTr="00477FF5">
        <w:tc>
          <w:tcPr>
            <w:tcW w:w="1277" w:type="dxa"/>
          </w:tcPr>
          <w:p w:rsidR="00B70CE9" w:rsidRDefault="00B70CE9" w:rsidP="00477FF5">
            <w:pPr>
              <w:rPr>
                <w:rFonts w:cstheme="minorHAnsi"/>
                <w:b/>
              </w:rPr>
            </w:pPr>
            <w:r>
              <w:rPr>
                <w:rFonts w:cstheme="minorHAnsi"/>
                <w:b/>
              </w:rPr>
              <w:t>SPOLU:</w:t>
            </w:r>
          </w:p>
        </w:tc>
        <w:tc>
          <w:tcPr>
            <w:tcW w:w="1275" w:type="dxa"/>
          </w:tcPr>
          <w:p w:rsidR="00B70CE9" w:rsidRDefault="00B70CE9" w:rsidP="00477FF5">
            <w:pPr>
              <w:rPr>
                <w:rFonts w:cstheme="minorHAnsi"/>
                <w:b/>
              </w:rPr>
            </w:pPr>
          </w:p>
        </w:tc>
        <w:tc>
          <w:tcPr>
            <w:tcW w:w="1134" w:type="dxa"/>
          </w:tcPr>
          <w:p w:rsidR="00B70CE9" w:rsidRDefault="00B70CE9" w:rsidP="00477FF5">
            <w:pPr>
              <w:rPr>
                <w:rFonts w:cstheme="minorHAnsi"/>
                <w:b/>
              </w:rPr>
            </w:pPr>
          </w:p>
        </w:tc>
        <w:tc>
          <w:tcPr>
            <w:tcW w:w="1756" w:type="dxa"/>
          </w:tcPr>
          <w:p w:rsidR="00B70CE9" w:rsidRDefault="00B70CE9" w:rsidP="00477FF5">
            <w:pPr>
              <w:rPr>
                <w:rFonts w:cstheme="minorHAnsi"/>
                <w:b/>
              </w:rPr>
            </w:pPr>
          </w:p>
        </w:tc>
        <w:tc>
          <w:tcPr>
            <w:tcW w:w="1552" w:type="dxa"/>
          </w:tcPr>
          <w:p w:rsidR="00B70CE9" w:rsidRDefault="00B70CE9" w:rsidP="00477FF5">
            <w:pPr>
              <w:rPr>
                <w:rFonts w:cstheme="minorHAnsi"/>
                <w:b/>
              </w:rPr>
            </w:pPr>
          </w:p>
        </w:tc>
        <w:tc>
          <w:tcPr>
            <w:tcW w:w="1552" w:type="dxa"/>
          </w:tcPr>
          <w:p w:rsidR="00B70CE9" w:rsidRDefault="00B70CE9" w:rsidP="00477FF5">
            <w:pPr>
              <w:rPr>
                <w:rFonts w:cstheme="minorHAnsi"/>
                <w:b/>
              </w:rPr>
            </w:pPr>
          </w:p>
        </w:tc>
        <w:tc>
          <w:tcPr>
            <w:tcW w:w="912" w:type="dxa"/>
          </w:tcPr>
          <w:p w:rsidR="00B70CE9" w:rsidRDefault="00B70CE9" w:rsidP="00477FF5">
            <w:pPr>
              <w:rPr>
                <w:rFonts w:cstheme="minorHAnsi"/>
                <w:b/>
              </w:rPr>
            </w:pPr>
          </w:p>
        </w:tc>
        <w:tc>
          <w:tcPr>
            <w:tcW w:w="1289" w:type="dxa"/>
          </w:tcPr>
          <w:p w:rsidR="00B70CE9" w:rsidRDefault="00B70CE9" w:rsidP="00477FF5">
            <w:pPr>
              <w:rPr>
                <w:rFonts w:cstheme="minorHAnsi"/>
                <w:b/>
              </w:rPr>
            </w:pPr>
          </w:p>
        </w:tc>
        <w:tc>
          <w:tcPr>
            <w:tcW w:w="1018" w:type="dxa"/>
          </w:tcPr>
          <w:p w:rsidR="00B70CE9" w:rsidRDefault="00B70CE9" w:rsidP="00477FF5">
            <w:pPr>
              <w:rPr>
                <w:rFonts w:cstheme="minorHAnsi"/>
                <w:b/>
              </w:rPr>
            </w:pPr>
          </w:p>
        </w:tc>
      </w:tr>
    </w:tbl>
    <w:p w:rsidR="00CA3C7A" w:rsidRPr="00B70CE9" w:rsidRDefault="00CA3C7A" w:rsidP="00B70CE9">
      <w:pPr>
        <w:pStyle w:val="Zarkazkladnhotextu"/>
        <w:tabs>
          <w:tab w:val="left" w:pos="0"/>
        </w:tabs>
        <w:spacing w:after="0"/>
        <w:ind w:left="0"/>
        <w:jc w:val="both"/>
        <w:rPr>
          <w:sz w:val="24"/>
        </w:rPr>
      </w:pPr>
    </w:p>
    <w:sectPr w:rsidR="00CA3C7A" w:rsidRPr="00B70CE9" w:rsidSect="007417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A92"/>
    <w:multiLevelType w:val="hybridMultilevel"/>
    <w:tmpl w:val="253E3660"/>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2F01722E"/>
    <w:multiLevelType w:val="hybridMultilevel"/>
    <w:tmpl w:val="1868B5C8"/>
    <w:lvl w:ilvl="0" w:tplc="D3D29DE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70CE9"/>
    <w:rsid w:val="00186A6B"/>
    <w:rsid w:val="00231ADB"/>
    <w:rsid w:val="00584C4D"/>
    <w:rsid w:val="00741751"/>
    <w:rsid w:val="009576D3"/>
    <w:rsid w:val="00B3690E"/>
    <w:rsid w:val="00B70CE9"/>
    <w:rsid w:val="00CA3C7A"/>
    <w:rsid w:val="00E54F2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70CE9"/>
    <w:pPr>
      <w:spacing w:after="0" w:line="240" w:lineRule="auto"/>
    </w:pPr>
    <w:rPr>
      <w:rFonts w:ascii="Times New Roman" w:eastAsia="Times New Roman" w:hAnsi="Times New Roman" w:cs="Times New Roman"/>
      <w:kern w:val="0"/>
      <w:sz w:val="24"/>
      <w:szCs w:val="24"/>
      <w:lang w:eastAsia="sk-SK"/>
    </w:rPr>
  </w:style>
  <w:style w:type="paragraph" w:styleId="Nadpis1">
    <w:name w:val="heading 1"/>
    <w:basedOn w:val="Normlny"/>
    <w:next w:val="Normlny"/>
    <w:link w:val="Nadpis1Char"/>
    <w:uiPriority w:val="9"/>
    <w:qFormat/>
    <w:rsid w:val="00B70C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70C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70CE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70CE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70CE9"/>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70CE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70CE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70CE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70CE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0CE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70CE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70CE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70CE9"/>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70CE9"/>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70CE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70CE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70CE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70CE9"/>
    <w:rPr>
      <w:rFonts w:eastAsiaTheme="majorEastAsia" w:cstheme="majorBidi"/>
      <w:color w:val="272727" w:themeColor="text1" w:themeTint="D8"/>
    </w:rPr>
  </w:style>
  <w:style w:type="paragraph" w:styleId="Nzov">
    <w:name w:val="Title"/>
    <w:basedOn w:val="Normlny"/>
    <w:next w:val="Normlny"/>
    <w:link w:val="NzovChar"/>
    <w:uiPriority w:val="10"/>
    <w:qFormat/>
    <w:rsid w:val="00B70CE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70CE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70CE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70CE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70CE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70CE9"/>
    <w:rPr>
      <w:i/>
      <w:iCs/>
      <w:color w:val="404040" w:themeColor="text1" w:themeTint="BF"/>
    </w:rPr>
  </w:style>
  <w:style w:type="paragraph" w:styleId="Odsekzoznamu">
    <w:name w:val="List Paragraph"/>
    <w:basedOn w:val="Normlny"/>
    <w:uiPriority w:val="34"/>
    <w:qFormat/>
    <w:rsid w:val="00B70CE9"/>
    <w:pPr>
      <w:ind w:left="720"/>
      <w:contextualSpacing/>
    </w:pPr>
  </w:style>
  <w:style w:type="character" w:styleId="Intenzvnezvraznenie">
    <w:name w:val="Intense Emphasis"/>
    <w:basedOn w:val="Predvolenpsmoodseku"/>
    <w:uiPriority w:val="21"/>
    <w:qFormat/>
    <w:rsid w:val="00B70CE9"/>
    <w:rPr>
      <w:i/>
      <w:iCs/>
      <w:color w:val="2F5496" w:themeColor="accent1" w:themeShade="BF"/>
    </w:rPr>
  </w:style>
  <w:style w:type="paragraph" w:styleId="Zvraznencitcia">
    <w:name w:val="Intense Quote"/>
    <w:basedOn w:val="Normlny"/>
    <w:next w:val="Normlny"/>
    <w:link w:val="ZvraznencitciaChar"/>
    <w:uiPriority w:val="30"/>
    <w:qFormat/>
    <w:rsid w:val="00B70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70CE9"/>
    <w:rPr>
      <w:i/>
      <w:iCs/>
      <w:color w:val="2F5496" w:themeColor="accent1" w:themeShade="BF"/>
    </w:rPr>
  </w:style>
  <w:style w:type="character" w:styleId="Intenzvnyodkaz">
    <w:name w:val="Intense Reference"/>
    <w:basedOn w:val="Predvolenpsmoodseku"/>
    <w:uiPriority w:val="32"/>
    <w:qFormat/>
    <w:rsid w:val="00B70CE9"/>
    <w:rPr>
      <w:b/>
      <w:bCs/>
      <w:smallCaps/>
      <w:color w:val="2F5496" w:themeColor="accent1" w:themeShade="BF"/>
      <w:spacing w:val="5"/>
    </w:rPr>
  </w:style>
  <w:style w:type="paragraph" w:styleId="Zarkazkladnhotextu">
    <w:name w:val="Body Text Indent"/>
    <w:basedOn w:val="Normlny"/>
    <w:link w:val="ZarkazkladnhotextuChar"/>
    <w:rsid w:val="00B70CE9"/>
    <w:pPr>
      <w:spacing w:after="120"/>
      <w:ind w:left="283"/>
    </w:pPr>
    <w:rPr>
      <w:sz w:val="20"/>
      <w:szCs w:val="20"/>
    </w:rPr>
  </w:style>
  <w:style w:type="character" w:customStyle="1" w:styleId="ZarkazkladnhotextuChar">
    <w:name w:val="Zarážka základného textu Char"/>
    <w:basedOn w:val="Predvolenpsmoodseku"/>
    <w:link w:val="Zarkazkladnhotextu"/>
    <w:rsid w:val="00B70CE9"/>
    <w:rPr>
      <w:rFonts w:ascii="Times New Roman" w:eastAsia="Times New Roman" w:hAnsi="Times New Roman" w:cs="Times New Roman"/>
      <w:kern w:val="0"/>
      <w:sz w:val="20"/>
      <w:szCs w:val="20"/>
      <w:lang w:eastAsia="sk-SK"/>
    </w:rPr>
  </w:style>
  <w:style w:type="paragraph" w:customStyle="1" w:styleId="Default">
    <w:name w:val="Default"/>
    <w:rsid w:val="00B70CE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sk-SK"/>
    </w:rPr>
  </w:style>
  <w:style w:type="character" w:styleId="Odkaznakomentr">
    <w:name w:val="annotation reference"/>
    <w:basedOn w:val="Predvolenpsmoodseku"/>
    <w:uiPriority w:val="99"/>
    <w:semiHidden/>
    <w:unhideWhenUsed/>
    <w:rsid w:val="00B70CE9"/>
    <w:rPr>
      <w:sz w:val="16"/>
      <w:szCs w:val="16"/>
    </w:rPr>
  </w:style>
  <w:style w:type="paragraph" w:styleId="Textkomentra">
    <w:name w:val="annotation text"/>
    <w:basedOn w:val="Normlny"/>
    <w:link w:val="TextkomentraChar"/>
    <w:uiPriority w:val="99"/>
    <w:semiHidden/>
    <w:unhideWhenUsed/>
    <w:rsid w:val="00B70CE9"/>
    <w:rPr>
      <w:sz w:val="20"/>
      <w:szCs w:val="20"/>
    </w:rPr>
  </w:style>
  <w:style w:type="character" w:customStyle="1" w:styleId="TextkomentraChar">
    <w:name w:val="Text komentára Char"/>
    <w:basedOn w:val="Predvolenpsmoodseku"/>
    <w:link w:val="Textkomentra"/>
    <w:uiPriority w:val="99"/>
    <w:semiHidden/>
    <w:rsid w:val="00B70CE9"/>
    <w:rPr>
      <w:rFonts w:ascii="Times New Roman" w:eastAsia="Times New Roman" w:hAnsi="Times New Roman" w:cs="Times New Roman"/>
      <w:kern w:val="0"/>
      <w:sz w:val="20"/>
      <w:szCs w:val="20"/>
      <w:lang w:eastAsia="sk-SK"/>
    </w:rPr>
  </w:style>
  <w:style w:type="paragraph" w:styleId="Predmetkomentra">
    <w:name w:val="annotation subject"/>
    <w:basedOn w:val="Textkomentra"/>
    <w:next w:val="Textkomentra"/>
    <w:link w:val="PredmetkomentraChar"/>
    <w:uiPriority w:val="99"/>
    <w:semiHidden/>
    <w:unhideWhenUsed/>
    <w:rsid w:val="00B70CE9"/>
    <w:rPr>
      <w:b/>
      <w:bCs/>
    </w:rPr>
  </w:style>
  <w:style w:type="character" w:customStyle="1" w:styleId="PredmetkomentraChar">
    <w:name w:val="Predmet komentára Char"/>
    <w:basedOn w:val="TextkomentraChar"/>
    <w:link w:val="Predmetkomentra"/>
    <w:uiPriority w:val="99"/>
    <w:semiHidden/>
    <w:rsid w:val="00B70CE9"/>
    <w:rPr>
      <w:rFonts w:ascii="Times New Roman" w:eastAsia="Times New Roman" w:hAnsi="Times New Roman" w:cs="Times New Roman"/>
      <w:b/>
      <w:bCs/>
      <w:kern w:val="0"/>
      <w:sz w:val="20"/>
      <w:szCs w:val="20"/>
      <w:lang w:eastAsia="sk-SK"/>
    </w:rPr>
  </w:style>
  <w:style w:type="table" w:styleId="Mriekatabuky">
    <w:name w:val="Table Grid"/>
    <w:basedOn w:val="Normlnatabuka"/>
    <w:uiPriority w:val="59"/>
    <w:rsid w:val="00B70CE9"/>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E54F26"/>
    <w:rPr>
      <w:rFonts w:ascii="Tahoma" w:hAnsi="Tahoma" w:cs="Tahoma"/>
      <w:sz w:val="16"/>
      <w:szCs w:val="16"/>
    </w:rPr>
  </w:style>
  <w:style w:type="character" w:customStyle="1" w:styleId="TextbublinyChar">
    <w:name w:val="Text bubliny Char"/>
    <w:basedOn w:val="Predvolenpsmoodseku"/>
    <w:link w:val="Textbubliny"/>
    <w:uiPriority w:val="99"/>
    <w:semiHidden/>
    <w:rsid w:val="00E54F26"/>
    <w:rPr>
      <w:rFonts w:ascii="Tahoma" w:eastAsia="Times New Roman" w:hAnsi="Tahoma" w:cs="Tahoma"/>
      <w:kern w:val="0"/>
      <w:sz w:val="16"/>
      <w:szCs w:val="16"/>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ezbierky-fe/pravne-predpisy/SK/ZZ/2015/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ezbierky-fe/pravne-predpisy/SK/ZZ/2015/44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6071</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 Veterná Poruba</dc:creator>
  <cp:lastModifiedBy>Martin Socháň</cp:lastModifiedBy>
  <cp:revision>2</cp:revision>
  <dcterms:created xsi:type="dcterms:W3CDTF">2025-11-21T11:00:00Z</dcterms:created>
  <dcterms:modified xsi:type="dcterms:W3CDTF">2025-11-21T11:00:00Z</dcterms:modified>
</cp:coreProperties>
</file>